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UŻYCZENIA SAMOCHODU</w:t>
      </w:r>
    </w:p>
    <w:p>
      <w:pPr>
        <w:spacing w:before="80" w:after="40"/>
      </w:pPr>
      <w:r>
        <w:rPr>
          <w:b/>
          <w:i/>
        </w:rPr>
        <w:t>Użyczający: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Reprezentowany przez (gdy Użyczającym jest firma): imię, nazwisko, funkcja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Biorący do używania (Biorący):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prawa jazdy i kategorie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</w:t>
      </w:r>
    </w:p>
    <w:p>
      <w:pPr>
        <w:spacing w:before="0" w:after="40"/>
        <w:jc w:val="both"/>
      </w:pPr>
      <w:r>
        <w:rPr>
          <w:b/>
          <w:i/>
        </w:rPr>
        <w:t>Użyczający oddaje Biorącemu do bezpłatnego używania (art. 710 k.c.) samochód: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(nadwozia)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polisa OC nr </w:t>
        <w:tab/>
      </w:r>
    </w:p>
    <w:p>
      <w:pPr>
        <w:spacing w:before="0" w:after="40"/>
        <w:jc w:val="both"/>
      </w:pPr>
      <w:r>
        <w:rPr>
          <w:b w:val="0"/>
          <w:i w:val="0"/>
        </w:rPr>
        <w:t>Użyczający oświadcza, że jest właścicielem samochodu, a gdy używa go w leasingu lub najmie, że ma pisemną zgodę leasingodawcy albo wynajmującego na użyczenie.</w:t>
      </w:r>
    </w:p>
    <w:p>
      <w:pPr>
        <w:keepNext/>
        <w:spacing w:before="80" w:after="20"/>
        <w:jc w:val="center"/>
      </w:pPr>
      <w:r>
        <w:rPr>
          <w:b/>
          <w:i w:val="0"/>
        </w:rPr>
        <w:t>§ 2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Okres użyczenia: 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</w:t>
        <w:tab/>
      </w:r>
    </w:p>
    <w:p>
      <w:pPr>
        <w:tabs>
          <w:tab w:pos="3529" w:val="right" w:leader="dot"/>
          <w:tab w:pos="375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wyjazd za granicę do krajów (lub „nie”)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</w:t>
      </w:r>
    </w:p>
    <w:p>
      <w:pPr>
        <w:spacing w:before="0" w:after="40"/>
        <w:jc w:val="both"/>
      </w:pPr>
      <w:r>
        <w:rPr>
          <w:b w:val="0"/>
          <w:i w:val="0"/>
        </w:rPr>
        <w:t>Samochód wydano z dowodem rejestracyjnym i kluczykami. Biorący zwróci go w terminie z § 2, w stanie niepogorszonym poza zwykłym zużyciem (art. 718 § 1 k.c.), z paliwem jak przy wydaniu: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68"/>
        <w:gridCol w:w="1606"/>
        <w:gridCol w:w="1314"/>
        <w:gridCol w:w="1314"/>
        <w:gridCol w:w="2775"/>
        <w:gridCol w:w="1460"/>
      </w:tblGrid>
      <w:tr>
        <w:tc>
          <w:tcPr>
            <w:tcW w:type="dxa" w:w="1168"/>
          </w:tcPr>
          <w:p>
            <w:r>
              <w:rPr>
                <w:b/>
                <w:i w:val="0"/>
                <w:sz w:val="19"/>
              </w:rPr>
            </w:r>
          </w:p>
        </w:tc>
        <w:tc>
          <w:tcPr>
            <w:tcW w:type="dxa" w:w="1606"/>
          </w:tcPr>
          <w:p>
            <w:r>
              <w:rPr>
                <w:b/>
                <w:i w:val="0"/>
                <w:sz w:val="19"/>
              </w:rPr>
              <w:t>Data i godzina</w:t>
            </w:r>
          </w:p>
        </w:tc>
        <w:tc>
          <w:tcPr>
            <w:tcW w:type="dxa" w:w="1314"/>
          </w:tcPr>
          <w:p>
            <w:r>
              <w:rPr>
                <w:b/>
                <w:i w:val="0"/>
                <w:sz w:val="19"/>
              </w:rPr>
              <w:t>Licznik (km)</w:t>
            </w:r>
          </w:p>
        </w:tc>
        <w:tc>
          <w:tcPr>
            <w:tcW w:type="dxa" w:w="1314"/>
          </w:tcPr>
          <w:p>
            <w:r>
              <w:rPr>
                <w:b/>
                <w:i w:val="0"/>
                <w:sz w:val="19"/>
              </w:rPr>
              <w:t>Paliwo / bateria</w:t>
            </w:r>
          </w:p>
        </w:tc>
        <w:tc>
          <w:tcPr>
            <w:tcW w:type="dxa" w:w="2775"/>
          </w:tcPr>
          <w:p>
            <w:r>
              <w:rPr>
                <w:b/>
                <w:i w:val="0"/>
                <w:sz w:val="19"/>
              </w:rPr>
              <w:t>Uszkodzenia, uwagi</w:t>
            </w:r>
          </w:p>
        </w:tc>
        <w:tc>
          <w:tcPr>
            <w:tcW w:type="dxa" w:w="1460"/>
          </w:tcPr>
          <w:p>
            <w:r>
              <w:rPr>
                <w:b/>
                <w:i w:val="0"/>
                <w:sz w:val="19"/>
              </w:rPr>
              <w:t>Podpisy</w:t>
            </w:r>
          </w:p>
        </w:tc>
      </w:tr>
      <w:tr>
        <w:trPr>
          <w:trHeight w:val="397" w:hRule="atLeast"/>
        </w:trPr>
        <w:tc>
          <w:tcPr>
            <w:tcW w:type="dxa" w:w="1168"/>
          </w:tcPr>
          <w:p>
            <w:r>
              <w:rPr>
                <w:b w:val="0"/>
                <w:i w:val="0"/>
                <w:sz w:val="19"/>
              </w:rPr>
              <w:t>Wydanie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1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1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77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6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168"/>
          </w:tcPr>
          <w:p>
            <w:r>
              <w:rPr>
                <w:b w:val="0"/>
                <w:i w:val="0"/>
                <w:sz w:val="19"/>
              </w:rPr>
              <w:t>Zwrot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1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1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77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60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keepNext/>
        <w:spacing w:before="80" w:after="20"/>
        <w:jc w:val="center"/>
      </w:pPr>
      <w:r>
        <w:rPr>
          <w:b/>
          <w:i w:val="0"/>
        </w:rPr>
        <w:t>§ 4</w:t>
      </w:r>
    </w:p>
    <w:p>
      <w:pPr>
        <w:spacing w:before="0" w:after="40"/>
        <w:jc w:val="both"/>
      </w:pPr>
      <w:r>
        <w:rPr>
          <w:b w:val="0"/>
          <w:i w:val="0"/>
        </w:rPr>
        <w:t>Biorący ponosi koszty paliwa lub ładowania, opłat drogowych i parkingowych oraz zwykłe koszty utrzymania (art. 713 k.c.). Inne wydatki, np. naprawy, wymagają uprzedniej zgody Użyczającego. Biorący nie oddaje samochodu osobie trzeciej bez pisemnej zgody Użyczającego (art. 712 § 2 k.c.).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Inne osoby uprawnione do kierowania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</w:t>
      </w:r>
    </w:p>
    <w:p>
      <w:pPr>
        <w:spacing w:before="0" w:after="40"/>
        <w:jc w:val="both"/>
      </w:pPr>
      <w:r>
        <w:rPr>
          <w:b w:val="0"/>
          <w:i w:val="0"/>
        </w:rPr>
        <w:t>Biorący niezwłocznie zawiadamia Użyczającego o kolizji, szkodzie lub kradzieży. Odpowiada za szkody powstałe z jego winy, w tym za koszty nieobjęte ubezpieczeniem, a za przypadkową utratę lub uszkodzenie w przypadkach z art. 714 k.c. Biorący odpowiada za wykroczenia popełnione w okresie użyczenia i zwraca Użyczającemu opłaty, które ten za nie poniósł. Na żądanie organu Użyczający wskaże jako kierującego Biorącego lub osobę z § 4 (art. 78 ust. 4 Prawa o ruchu drogowym).</w:t>
      </w:r>
    </w:p>
    <w:p>
      <w:pPr>
        <w:keepNext/>
        <w:spacing w:before="80" w:after="20"/>
        <w:jc w:val="center"/>
      </w:pPr>
      <w:r>
        <w:rPr>
          <w:b/>
          <w:i w:val="0"/>
        </w:rPr>
        <w:t>§ 6</w:t>
      </w:r>
    </w:p>
    <w:p>
      <w:pPr>
        <w:spacing w:before="0" w:after="40"/>
        <w:jc w:val="both"/>
      </w:pPr>
      <w:r>
        <w:rPr>
          <w:b w:val="0"/>
          <w:i w:val="0"/>
        </w:rPr>
        <w:t>Użyczający może żądać wcześniejszego zwrotu samochodu w przypadkach z art. 716 k.c. Zmiany umowy wymagają formy pisemnej. W sprawach nieuregulowanych stosuje się Kodeks cywilny.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Użyczający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Biorący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Samochód częściej stoi, niż jeździ?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denwi.pl/wzory-umow/umowa-uzyczenia-samochodu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umowa-uzyczenia-samo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użyczenia samochodu - wzór Word (Denwi.pl)</dc:title>
  <dc:subject>Wzór umowy użyczenia samochodu z protokołem wydania i zwrotu, zasadami kosztów, szkód i mandatów</dc:subject>
  <dc:creator>Denwi.pl</dc:creator>
  <cp:keywords>umowa użyczenia samochodu, wzór umowy użyczenia auta, użyczenie samochodu członkowi rodziny,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