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pos="6123" w:val="left"/>
          <w:tab w:pos="9638" w:val="right" w:leader="dot"/>
        </w:tabs>
        <w:spacing w:before="0" w:after="0"/>
        <w:jc w:val="right"/>
      </w:pPr>
      <w:r>
        <w:rPr>
          <w:b w:val="0"/>
          <w:i w:val="0"/>
        </w:rPr>
        <w:tab/>
        <w:tab/>
      </w:r>
    </w:p>
    <w:p>
      <w:pPr>
        <w:spacing w:before="0" w:after="120"/>
        <w:jc w:val="right"/>
      </w:pPr>
      <w:r>
        <w:rPr>
          <w:b w:val="0"/>
          <w:i w:val="0"/>
          <w:sz w:val="16"/>
        </w:rPr>
        <w:t>(miejscowość, data)</w:t>
      </w:r>
    </w:p>
    <w:p>
      <w:pPr>
        <w:spacing w:before="0" w:after="160"/>
        <w:jc w:val="center"/>
      </w:pPr>
      <w:r>
        <w:rPr>
          <w:b/>
          <w:i w:val="0"/>
          <w:sz w:val="28"/>
        </w:rPr>
        <w:t>UMOWA NAJMU POKOJU</w:t>
      </w:r>
    </w:p>
    <w:p>
      <w:pPr>
        <w:spacing w:before="80" w:after="40"/>
      </w:pPr>
      <w:r>
        <w:rPr>
          <w:b/>
          <w:i/>
        </w:rPr>
        <w:t>Wynajmujący:</w:t>
      </w:r>
    </w:p>
    <w:p>
      <w:pPr>
        <w:tabs>
          <w:tab w:pos="9638" w:val="right" w:leader="dot"/>
        </w:tabs>
        <w:spacing w:before="60" w:after="20"/>
      </w:pPr>
      <w:r>
        <w:rPr>
          <w:b w:val="0"/>
          <w:i w:val="0"/>
        </w:rPr>
        <w:t xml:space="preserve">Imię i nazwisko </w:t>
        <w:tab/>
      </w:r>
    </w:p>
    <w:p>
      <w:pPr>
        <w:tabs>
          <w:tab w:pos="9638" w:val="right" w:leader="dot"/>
        </w:tabs>
        <w:spacing w:before="60" w:after="20"/>
      </w:pPr>
      <w:r>
        <w:rPr>
          <w:b w:val="0"/>
          <w:i w:val="0"/>
        </w:rPr>
        <w:t xml:space="preserve">Adres zamieszkania </w:t>
        <w:tab/>
      </w:r>
    </w:p>
    <w:p>
      <w:pPr>
        <w:tabs>
          <w:tab w:pos="5034" w:val="right" w:leader="dot"/>
          <w:tab w:pos="5261" w:val="left"/>
          <w:tab w:pos="9638" w:val="right" w:leader="dot"/>
        </w:tabs>
        <w:spacing w:before="60" w:after="20"/>
      </w:pPr>
      <w:r>
        <w:rPr>
          <w:b w:val="0"/>
          <w:i w:val="0"/>
        </w:rPr>
        <w:t xml:space="preserve">Seria i numer dowodu osobistego </w:t>
        <w:tab/>
      </w:r>
      <w:r>
        <w:rPr>
          <w:b w:val="0"/>
          <w:i w:val="0"/>
        </w:rPr>
        <w:tab/>
      </w:r>
      <w:r>
        <w:rPr>
          <w:b w:val="0"/>
          <w:i w:val="0"/>
        </w:rPr>
        <w:t xml:space="preserve">PESEL </w:t>
        <w:tab/>
      </w:r>
    </w:p>
    <w:p>
      <w:pPr>
        <w:tabs>
          <w:tab w:pos="3921" w:val="right" w:leader="dot"/>
          <w:tab w:pos="4148" w:val="left"/>
          <w:tab w:pos="9638" w:val="right" w:leader="dot"/>
        </w:tabs>
        <w:spacing w:before="60" w:after="20"/>
      </w:pPr>
      <w:r>
        <w:rPr>
          <w:b w:val="0"/>
          <w:i w:val="0"/>
        </w:rPr>
        <w:t xml:space="preserve">Telefon </w:t>
        <w:tab/>
      </w:r>
      <w:r>
        <w:rPr>
          <w:b w:val="0"/>
          <w:i w:val="0"/>
        </w:rPr>
        <w:tab/>
      </w:r>
      <w:r>
        <w:rPr>
          <w:b w:val="0"/>
          <w:i w:val="0"/>
        </w:rPr>
        <w:t xml:space="preserve">e-mail </w:t>
        <w:tab/>
      </w:r>
    </w:p>
    <w:p>
      <w:pPr>
        <w:spacing w:before="80" w:after="40"/>
      </w:pPr>
      <w:r>
        <w:rPr>
          <w:b/>
          <w:i/>
        </w:rPr>
        <w:t>Najemca:</w:t>
      </w:r>
    </w:p>
    <w:p>
      <w:pPr>
        <w:tabs>
          <w:tab w:pos="9638" w:val="right" w:leader="dot"/>
        </w:tabs>
        <w:spacing w:before="60" w:after="20"/>
      </w:pPr>
      <w:r>
        <w:rPr>
          <w:b w:val="0"/>
          <w:i w:val="0"/>
        </w:rPr>
        <w:t xml:space="preserve">Imię i nazwisko </w:t>
        <w:tab/>
      </w:r>
    </w:p>
    <w:p>
      <w:pPr>
        <w:tabs>
          <w:tab w:pos="9638" w:val="right" w:leader="dot"/>
        </w:tabs>
        <w:spacing w:before="60" w:after="20"/>
      </w:pPr>
      <w:r>
        <w:rPr>
          <w:b w:val="0"/>
          <w:i w:val="0"/>
        </w:rPr>
        <w:t xml:space="preserve">Adres zamieszkania </w:t>
        <w:tab/>
      </w:r>
    </w:p>
    <w:p>
      <w:pPr>
        <w:tabs>
          <w:tab w:pos="5034" w:val="right" w:leader="dot"/>
          <w:tab w:pos="5261" w:val="left"/>
          <w:tab w:pos="9638" w:val="right" w:leader="dot"/>
        </w:tabs>
        <w:spacing w:before="60" w:after="20"/>
      </w:pPr>
      <w:r>
        <w:rPr>
          <w:b w:val="0"/>
          <w:i w:val="0"/>
        </w:rPr>
        <w:t xml:space="preserve">Seria i numer dowodu osobistego </w:t>
        <w:tab/>
      </w:r>
      <w:r>
        <w:rPr>
          <w:b w:val="0"/>
          <w:i w:val="0"/>
        </w:rPr>
        <w:tab/>
      </w:r>
      <w:r>
        <w:rPr>
          <w:b w:val="0"/>
          <w:i w:val="0"/>
        </w:rPr>
        <w:t xml:space="preserve">PESEL </w:t>
        <w:tab/>
      </w:r>
    </w:p>
    <w:p>
      <w:pPr>
        <w:tabs>
          <w:tab w:pos="3921" w:val="right" w:leader="dot"/>
          <w:tab w:pos="4148" w:val="left"/>
          <w:tab w:pos="9638" w:val="right" w:leader="dot"/>
        </w:tabs>
        <w:spacing w:before="60" w:after="20"/>
      </w:pPr>
      <w:r>
        <w:rPr>
          <w:b w:val="0"/>
          <w:i w:val="0"/>
        </w:rPr>
        <w:t xml:space="preserve">Telefon </w:t>
        <w:tab/>
      </w:r>
      <w:r>
        <w:rPr>
          <w:b w:val="0"/>
          <w:i w:val="0"/>
        </w:rPr>
        <w:tab/>
      </w:r>
      <w:r>
        <w:rPr>
          <w:b w:val="0"/>
          <w:i w:val="0"/>
        </w:rPr>
        <w:t xml:space="preserve">e-mail </w:t>
        <w:tab/>
      </w:r>
    </w:p>
    <w:p>
      <w:pPr>
        <w:keepNext/>
        <w:spacing w:before="80" w:after="20"/>
        <w:jc w:val="center"/>
      </w:pPr>
      <w:r>
        <w:rPr>
          <w:b/>
          <w:i w:val="0"/>
        </w:rPr>
        <w:t>§ 1. Przedmiot najmu</w:t>
      </w:r>
    </w:p>
    <w:p>
      <w:pPr>
        <w:spacing w:before="0" w:after="40"/>
        <w:jc w:val="both"/>
      </w:pPr>
      <w:r>
        <w:rPr>
          <w:b w:val="0"/>
          <w:i w:val="0"/>
        </w:rPr>
        <w:t>Wynajmujący oddaje Najemcy do używania w celach mieszkaniowych pokój:</w:t>
      </w:r>
    </w:p>
    <w:p>
      <w:pPr>
        <w:tabs>
          <w:tab w:pos="5925" w:val="right" w:leader="dot"/>
          <w:tab w:pos="6152" w:val="left"/>
          <w:tab w:pos="9638" w:val="right" w:leader="dot"/>
        </w:tabs>
        <w:spacing w:before="60" w:after="20"/>
      </w:pPr>
      <w:r>
        <w:rPr>
          <w:b w:val="0"/>
          <w:i w:val="0"/>
        </w:rPr>
        <w:t xml:space="preserve">opis pokoju (np. nr, położenie) </w:t>
        <w:tab/>
      </w:r>
      <w:r>
        <w:rPr>
          <w:b w:val="0"/>
          <w:i w:val="0"/>
        </w:rPr>
        <w:tab/>
      </w:r>
      <w:r>
        <w:rPr>
          <w:b w:val="0"/>
          <w:i w:val="0"/>
        </w:rPr>
        <w:t xml:space="preserve">powierzchnia (m²) </w:t>
        <w:tab/>
      </w:r>
    </w:p>
    <w:p>
      <w:pPr>
        <w:tabs>
          <w:tab w:pos="9638" w:val="right" w:leader="dot"/>
        </w:tabs>
        <w:spacing w:before="60" w:after="20"/>
      </w:pPr>
      <w:r>
        <w:rPr>
          <w:b w:val="0"/>
          <w:i w:val="0"/>
        </w:rPr>
        <w:t xml:space="preserve">w lokalu mieszkalnym pod adresem </w:t>
        <w:tab/>
      </w:r>
    </w:p>
    <w:p>
      <w:pPr>
        <w:tabs>
          <w:tab w:pos="9638" w:val="right" w:leader="dot"/>
        </w:tabs>
        <w:spacing w:before="60" w:after="20"/>
      </w:pPr>
      <w:r>
        <w:rPr>
          <w:b w:val="0"/>
          <w:i w:val="0"/>
        </w:rPr>
        <w:t xml:space="preserve">Części wspólne do współkorzystania (kuchnia, łazienka, WC, przedpokój, balkon) </w:t>
        <w:tab/>
      </w:r>
    </w:p>
    <w:p>
      <w:pPr>
        <w:tabs>
          <w:tab w:pos="5826" w:val="right" w:leader="dot"/>
          <w:tab w:pos="6053" w:val="left"/>
          <w:tab w:pos="9638" w:val="right" w:leader="dot"/>
        </w:tabs>
        <w:spacing w:before="60" w:after="20"/>
      </w:pPr>
      <w:r>
        <w:rPr>
          <w:b w:val="0"/>
          <w:i w:val="0"/>
        </w:rPr>
        <w:t xml:space="preserve">Łączna liczba osób mieszkających w lokalu </w:t>
        <w:tab/>
      </w:r>
      <w:r>
        <w:rPr>
          <w:b w:val="0"/>
          <w:i w:val="0"/>
        </w:rPr>
        <w:tab/>
      </w:r>
      <w:r>
        <w:rPr>
          <w:b w:val="0"/>
          <w:i w:val="0"/>
        </w:rPr>
        <w:t xml:space="preserve">pokój dla osób </w:t>
        <w:tab/>
      </w:r>
    </w:p>
    <w:p>
      <w:pPr>
        <w:spacing w:before="0" w:after="40"/>
        <w:jc w:val="both"/>
      </w:pPr>
      <w:r>
        <w:rPr>
          <w:b w:val="0"/>
          <w:i w:val="0"/>
        </w:rPr>
        <w:t>Wynajmujący (zaznacz jedno):</w:t>
      </w:r>
    </w:p>
    <w:p>
      <w:pPr>
        <w:spacing w:before="0" w:after="40"/>
        <w:ind w:left="454" w:hanging="340"/>
      </w:pPr>
      <w:r>
        <w:rPr>
          <w:b w:val="0"/>
          <w:i w:val="0"/>
        </w:rPr>
        <w:t>☐  mieszka w lokalu,</w:t>
      </w:r>
    </w:p>
    <w:p>
      <w:pPr>
        <w:spacing w:before="0" w:after="40"/>
        <w:ind w:left="454" w:hanging="340"/>
      </w:pPr>
      <w:r>
        <w:rPr>
          <w:b w:val="0"/>
          <w:i w:val="0"/>
        </w:rPr>
        <w:t>☐  nie mieszka w lokalu i ma prawo oddawać pokoje w najem.</w:t>
      </w:r>
    </w:p>
    <w:p>
      <w:pPr>
        <w:spacing w:before="0" w:after="40"/>
        <w:jc w:val="both"/>
      </w:pPr>
      <w:r>
        <w:rPr>
          <w:b w:val="0"/>
          <w:i w:val="0"/>
        </w:rPr>
        <w:t>Wyposażenie pokoju, stan pokoju i wydane klucze opisuje wykaz na końcu umowy.</w:t>
      </w:r>
    </w:p>
    <w:p>
      <w:pPr>
        <w:keepNext/>
        <w:spacing w:before="80" w:after="20"/>
        <w:jc w:val="center"/>
      </w:pPr>
      <w:r>
        <w:rPr>
          <w:b/>
          <w:i w:val="0"/>
        </w:rPr>
        <w:t>§ 2. Czas trwania najmu</w:t>
      </w:r>
    </w:p>
    <w:p>
      <w:pPr>
        <w:spacing w:before="0" w:after="40"/>
        <w:jc w:val="both"/>
      </w:pPr>
      <w:r>
        <w:rPr>
          <w:b w:val="0"/>
          <w:i w:val="0"/>
        </w:rPr>
        <w:t>Umowa zostaje zawarta (zaznacz jedno):</w:t>
      </w:r>
    </w:p>
    <w:p>
      <w:pPr>
        <w:spacing w:before="0" w:after="40"/>
        <w:ind w:left="454" w:hanging="340"/>
      </w:pPr>
      <w:r>
        <w:rPr>
          <w:b w:val="0"/>
          <w:i w:val="0"/>
        </w:rPr>
        <w:t>☐  na czas oznaczony od dnia ........................... do dnia ........................... ,</w:t>
      </w:r>
    </w:p>
    <w:p>
      <w:pPr>
        <w:spacing w:before="0" w:after="40"/>
        <w:ind w:left="454" w:hanging="340"/>
      </w:pPr>
      <w:r>
        <w:rPr>
          <w:b w:val="0"/>
          <w:i w:val="0"/>
        </w:rPr>
        <w:t>☐  na czas nieoznaczony od dnia ........................... .</w:t>
      </w:r>
    </w:p>
    <w:p>
      <w:pPr>
        <w:keepNext/>
        <w:spacing w:before="80" w:after="20"/>
        <w:jc w:val="center"/>
      </w:pPr>
      <w:r>
        <w:rPr>
          <w:b/>
          <w:i w:val="0"/>
        </w:rPr>
        <w:t>§ 3. Czynsz i media</w:t>
      </w:r>
    </w:p>
    <w:p>
      <w:pPr>
        <w:tabs>
          <w:tab w:pos="4517" w:val="right" w:leader="dot"/>
          <w:tab w:pos="4744" w:val="left"/>
          <w:tab w:pos="9638" w:val="right" w:leader="dot"/>
        </w:tabs>
        <w:spacing w:before="60" w:after="20"/>
      </w:pPr>
      <w:r>
        <w:rPr>
          <w:b w:val="0"/>
          <w:i w:val="0"/>
        </w:rPr>
        <w:t xml:space="preserve">Czynsz miesięczny wynosi </w:t>
        <w:tab/>
      </w:r>
      <w:r>
        <w:rPr>
          <w:b w:val="0"/>
          <w:i w:val="0"/>
        </w:rPr>
        <w:tab/>
      </w:r>
      <w:r>
        <w:rPr>
          <w:b w:val="0"/>
          <w:i w:val="0"/>
        </w:rPr>
        <w:t xml:space="preserve">zł, słownie </w:t>
        <w:tab/>
      </w:r>
    </w:p>
    <w:p>
      <w:pPr>
        <w:tabs>
          <w:tab w:pos="3040" w:val="right" w:leader="dot"/>
          <w:tab w:pos="3267" w:val="left"/>
          <w:tab w:pos="9638" w:val="right" w:leader="dot"/>
        </w:tabs>
        <w:spacing w:before="60" w:after="20"/>
      </w:pPr>
      <w:r>
        <w:rPr>
          <w:b w:val="0"/>
          <w:i w:val="0"/>
        </w:rPr>
        <w:t xml:space="preserve">Czynsz płatny z góry do </w:t>
        <w:tab/>
      </w:r>
      <w:r>
        <w:rPr>
          <w:b w:val="0"/>
          <w:i w:val="0"/>
        </w:rPr>
        <w:tab/>
      </w:r>
      <w:r>
        <w:rPr>
          <w:b w:val="0"/>
          <w:i w:val="0"/>
        </w:rPr>
        <w:t xml:space="preserve">dnia miesiąca na rachunek nr </w:t>
        <w:tab/>
      </w:r>
    </w:p>
    <w:p>
      <w:pPr>
        <w:spacing w:before="0" w:after="40"/>
        <w:jc w:val="both"/>
      </w:pPr>
      <w:r>
        <w:rPr>
          <w:b w:val="0"/>
          <w:i w:val="0"/>
        </w:rPr>
        <w:t>Opłaty za energię elektryczną, gaz, wodę i ścieki, ciepło oraz odpady (zaznacz jedno):</w:t>
      </w:r>
    </w:p>
    <w:p>
      <w:pPr>
        <w:spacing w:before="0" w:after="40"/>
        <w:ind w:left="454" w:hanging="340"/>
      </w:pPr>
      <w:r>
        <w:rPr>
          <w:b w:val="0"/>
          <w:i w:val="0"/>
        </w:rPr>
        <w:t>☐  są wliczone w czynsz, bez dopłat i rozliczeń,</w:t>
      </w:r>
    </w:p>
    <w:p>
      <w:pPr>
        <w:spacing w:before="0" w:after="40"/>
        <w:ind w:left="454" w:hanging="340"/>
      </w:pPr>
      <w:r>
        <w:rPr>
          <w:b w:val="0"/>
          <w:i w:val="0"/>
        </w:rPr>
        <w:t>☐  Najemca pokrywa ich część: ........ (np. 1/3 lub według liczby osób) kwot z rachunków, w ciągu 7 dni od okazania rachunku lub rozliczenia.</w:t>
      </w:r>
    </w:p>
    <w:p>
      <w:pPr>
        <w:tabs>
          <w:tab w:pos="9638" w:val="right" w:leader="dot"/>
        </w:tabs>
        <w:spacing w:before="60" w:after="20"/>
      </w:pPr>
      <w:r>
        <w:rPr>
          <w:b w:val="0"/>
          <w:i w:val="0"/>
        </w:rPr>
        <w:t xml:space="preserve">Internet (wliczony w czynsz / inna kwota) </w:t>
        <w:tab/>
      </w:r>
    </w:p>
    <w:p>
      <w:pPr>
        <w:spacing w:before="0" w:after="40"/>
        <w:jc w:val="both"/>
      </w:pPr>
      <w:r>
        <w:rPr>
          <w:b w:val="0"/>
          <w:i w:val="0"/>
        </w:rPr>
        <w:t>Wynajmujący może podwyższyć czynsz tylko przez pisemne wypowiedzenie jego wysokości z 3-miesięcznym terminem, na koniec miesiąca kalendarzowego, nie częściej niż co 6 miesięcy (art. 8a i 9 ust. 1b ustawy o ochronie praw lokatorów).</w:t>
      </w:r>
    </w:p>
    <w:p>
      <w:pPr>
        <w:keepNext/>
        <w:spacing w:before="80" w:after="20"/>
        <w:jc w:val="center"/>
      </w:pPr>
      <w:r>
        <w:rPr>
          <w:b/>
          <w:i w:val="0"/>
        </w:rPr>
        <w:t>§ 4. Kaucja</w:t>
      </w:r>
    </w:p>
    <w:p>
      <w:pPr>
        <w:tabs>
          <w:tab w:pos="4894" w:val="right" w:leader="dot"/>
          <w:tab w:pos="5121" w:val="left"/>
          <w:tab w:pos="9638" w:val="right" w:leader="dot"/>
        </w:tabs>
        <w:spacing w:before="60" w:after="20"/>
      </w:pPr>
      <w:r>
        <w:rPr>
          <w:b w:val="0"/>
          <w:i w:val="0"/>
        </w:rPr>
        <w:t xml:space="preserve">Najemca wpłaca kaucję w kwocie </w:t>
        <w:tab/>
      </w:r>
      <w:r>
        <w:rPr>
          <w:b w:val="0"/>
          <w:i w:val="0"/>
        </w:rPr>
        <w:tab/>
      </w:r>
      <w:r>
        <w:rPr>
          <w:b w:val="0"/>
          <w:i w:val="0"/>
        </w:rPr>
        <w:t xml:space="preserve">zł, co stanowi krotność czynszu: </w:t>
        <w:tab/>
      </w:r>
    </w:p>
    <w:p>
      <w:pPr>
        <w:spacing w:before="0" w:after="40"/>
        <w:jc w:val="both"/>
      </w:pPr>
      <w:r>
        <w:rPr>
          <w:b w:val="0"/>
          <w:i w:val="0"/>
        </w:rPr>
        <w:t>Kaucja (najwyżej 12-krotność czynszu) zabezpiecza należności z tytułu najmu istniejące w dniu opróżnienia pokoju. Wynajmujący zwraca ją w ciągu miesiąca od opróżnienia pokoju, po potrąceniu zaległego czynszu, opłat i kosztu usunięcia szkód ponad normalne zużycie, wskazanych na piśmie (art. 6 ustawy o ochronie praw lokatorów).</w:t>
      </w:r>
    </w:p>
    <w:p>
      <w:pPr>
        <w:keepNext/>
        <w:spacing w:before="80" w:after="20"/>
        <w:jc w:val="center"/>
      </w:pPr>
      <w:r>
        <w:rPr>
          <w:b/>
          <w:i w:val="0"/>
        </w:rPr>
        <w:t>§ 5. Zasady wspólnego zamieszkiwania</w:t>
      </w:r>
    </w:p>
    <w:p>
      <w:pPr>
        <w:tabs>
          <w:tab w:pos="3764" w:val="right" w:leader="dot"/>
          <w:tab w:pos="3991" w:val="left"/>
          <w:tab w:pos="9638" w:val="right" w:leader="dot"/>
        </w:tabs>
        <w:spacing w:before="60" w:after="20"/>
      </w:pPr>
      <w:r>
        <w:rPr>
          <w:b w:val="0"/>
          <w:i w:val="0"/>
        </w:rPr>
        <w:t xml:space="preserve">Cisza nocna w godzinach </w:t>
        <w:tab/>
      </w:r>
      <w:r>
        <w:rPr>
          <w:b w:val="0"/>
          <w:i w:val="0"/>
        </w:rPr>
        <w:tab/>
      </w:r>
      <w:r>
        <w:rPr>
          <w:b w:val="0"/>
          <w:i w:val="0"/>
        </w:rPr>
        <w:t xml:space="preserve">goście nocujący (np. do 4 nocy w miesiącu) </w:t>
        <w:tab/>
      </w:r>
    </w:p>
    <w:p>
      <w:pPr>
        <w:tabs>
          <w:tab w:pos="6065" w:val="right" w:leader="dot"/>
          <w:tab w:pos="6292" w:val="left"/>
          <w:tab w:pos="9638" w:val="right" w:leader="dot"/>
        </w:tabs>
        <w:spacing w:before="60" w:after="20"/>
      </w:pPr>
      <w:r>
        <w:rPr>
          <w:b w:val="0"/>
          <w:i w:val="0"/>
        </w:rPr>
        <w:t xml:space="preserve">Sprzątanie części wspólnych (grafik, co ile) </w:t>
        <w:tab/>
      </w:r>
      <w:r>
        <w:rPr>
          <w:b w:val="0"/>
          <w:i w:val="0"/>
        </w:rPr>
        <w:tab/>
      </w:r>
      <w:r>
        <w:rPr>
          <w:b w:val="0"/>
          <w:i w:val="0"/>
        </w:rPr>
        <w:t xml:space="preserve">palenie tytoniu </w:t>
        <w:tab/>
      </w:r>
    </w:p>
    <w:p>
      <w:pPr>
        <w:tabs>
          <w:tab w:pos="9638" w:val="right" w:leader="dot"/>
        </w:tabs>
        <w:spacing w:before="60" w:after="20"/>
      </w:pPr>
      <w:r>
        <w:rPr>
          <w:b w:val="0"/>
          <w:i w:val="0"/>
        </w:rPr>
        <w:t xml:space="preserve">Zwierzęta (brak wpisu: tylko za pisemną zgodą Wynajmującego) </w:t>
        <w:tab/>
      </w:r>
    </w:p>
    <w:p>
      <w:pPr>
        <w:spacing w:before="0" w:after="40"/>
        <w:jc w:val="both"/>
      </w:pPr>
      <w:r>
        <w:rPr>
          <w:b w:val="0"/>
          <w:i w:val="0"/>
        </w:rPr>
        <w:t>Najemca korzysta z części wspólnych tak, by nie utrudniać tego innym mieszkańcom, sprząta po sobie i przestrzega porządku domowego. Zamieszkanie w pokoju innej osoby, podnajem i zmiany w pokoju wymagają pisemnej zgody Wynajmującego. Wynajmujący wchodzi do pokoju po uzgodnieniu terminu z Najemcą, a bez tego tylko w razie awarii grożącej szkodą (art. 10 ustawy o ochronie praw lokatorów).</w:t>
      </w:r>
    </w:p>
    <w:p>
      <w:pPr>
        <w:keepNext/>
        <w:spacing w:before="80" w:after="20"/>
        <w:jc w:val="center"/>
      </w:pPr>
      <w:r>
        <w:rPr>
          <w:b/>
          <w:i w:val="0"/>
        </w:rPr>
        <w:t>§ 6. Naprawy i szkody</w:t>
      </w:r>
    </w:p>
    <w:p>
      <w:pPr>
        <w:spacing w:before="0" w:after="40"/>
        <w:jc w:val="both"/>
      </w:pPr>
      <w:r>
        <w:rPr>
          <w:b w:val="0"/>
          <w:i w:val="0"/>
        </w:rPr>
        <w:t>Wynajmujący utrzymuje lokal w stanie przydatnym do zamieszkania i usuwa awarie, które nie obciążają Najemcy. Najemca wykonuje drobne naprawy w pokoju (art. 681 k.c.), niezwłocznie zgłasza usterki i odpowiada za szkody wyrządzone przez siebie i swoich gości, także w częściach wspólnych.</w:t>
      </w:r>
    </w:p>
    <w:p>
      <w:pPr>
        <w:keepNext/>
        <w:spacing w:before="80" w:after="20"/>
        <w:jc w:val="center"/>
      </w:pPr>
      <w:r>
        <w:rPr>
          <w:b/>
          <w:i w:val="0"/>
        </w:rPr>
        <w:t>§ 7. Wypowiedzenie</w:t>
      </w:r>
    </w:p>
    <w:p>
      <w:pPr>
        <w:spacing w:before="0" w:after="40"/>
        <w:jc w:val="both"/>
      </w:pPr>
      <w:r>
        <w:rPr>
          <w:b w:val="0"/>
          <w:i w:val="0"/>
        </w:rPr>
        <w:t>Wynajmujący może wypowiedzieć umowę, także zawartą na czas oznaczony, na piśmie ze wskazaniem przyczyny, na miesiąc naprzód, na koniec miesiąca kalendarzowego, z przyczyn z art. 11 ust. 2 ustawy o ochronie praw lokatorów, w szczególności gdy Najemca: (1) mimo pisemnego upomnienia rażąco narusza zasady z § 5 lub porządek domowy albo niszczy lokal; (2) zalega z czynszem lub opłatami za co najmniej trzy pełne okresy płatności, mimo pisemnego uprzedzenia i wyznaczenia dodatkowego, miesięcznego terminu do zapłaty; (3) oddał pokój do używania innej osobie bez pisemnej zgody.</w:t>
      </w:r>
    </w:p>
    <w:p>
      <w:pPr>
        <w:spacing w:before="0" w:after="40"/>
        <w:jc w:val="both"/>
      </w:pPr>
      <w:r>
        <w:rPr>
          <w:b w:val="0"/>
          <w:i w:val="0"/>
        </w:rPr>
        <w:t>Najemca może wypowiedzieć umowę na piśmie, na koniec miesiąca kalendarzowego, z terminem ........ miesiąca(-ęcy) (brak wpisu: 3 miesiące, art. 688 k.c.), a umowę na czas oznaczony tylko z ważnej przyczyny: zmiany miejsca nauki lub pracy na inną miejscowość, przerwania studiów, utraty dochodu, choroby lub innej: ..........................................................</w:t>
      </w:r>
    </w:p>
    <w:p>
      <w:pPr>
        <w:keepNext/>
        <w:spacing w:before="80" w:after="20"/>
        <w:jc w:val="center"/>
      </w:pPr>
      <w:r>
        <w:rPr>
          <w:b/>
          <w:i w:val="0"/>
        </w:rPr>
        <w:t>§ 8. Zwrot pokoju i postanowienia końcowe</w:t>
      </w:r>
    </w:p>
    <w:p>
      <w:pPr>
        <w:spacing w:before="0" w:after="40"/>
        <w:jc w:val="both"/>
      </w:pPr>
      <w:r>
        <w:rPr>
          <w:b w:val="0"/>
          <w:i w:val="0"/>
        </w:rPr>
        <w:t>Po zakończeniu najmu Najemca opróżnia pokój i oddaje go z wyposażeniem i kluczami w stanie niepogorszonym, poza zużyciem wynikającym z prawidłowego używania (art. 675 k.c.), bez obowiązku malowania, chyba że strony ustalą inaczej niżej. Na wniosek Najemcy Wynajmujący potwierdzi jego pobyt na potrzeby zameldowania. Zmiany umowy wymagają formy pisemnej pod rygorem nieważności. W sprawach nieuregulowanych stosuje się Kodeks cywilny i ustawę o ochronie praw lokatorów. Umowę sporządzono w dwóch jednobrzmiących egzemplarzach, po jednym dla każdej ze stron.</w:t>
      </w:r>
    </w:p>
    <w:p>
      <w:pPr>
        <w:spacing w:before="0" w:after="40"/>
        <w:jc w:val="both"/>
      </w:pPr>
      <w:r>
        <w:rPr>
          <w:b w:val="0"/>
          <w:i w:val="0"/>
        </w:rPr>
        <w:t>Dodatkowe ustalenia (np. rower w piwnicy, miejsce w lodówce, pranie):</w:t>
      </w:r>
    </w:p>
    <w:p>
      <w:pPr>
        <w:tabs>
          <w:tab w:pos="9638" w:val="right" w:leader="dot"/>
        </w:tabs>
        <w:spacing w:before="60" w:after="20"/>
      </w:pPr>
      <w:r>
        <w:rPr>
          <w:b w:val="0"/>
          <w:i w:val="0"/>
        </w:rPr>
        <w:tab/>
      </w:r>
    </w:p>
    <w:p>
      <w:pPr>
        <w:tabs>
          <w:tab w:pos="9638" w:val="right" w:leader="dot"/>
        </w:tabs>
        <w:spacing w:before="60" w:after="20"/>
      </w:pPr>
      <w:r>
        <w:rPr>
          <w:b w:val="0"/>
          <w:i w:val="0"/>
        </w:rPr>
        <w:tab/>
      </w:r>
    </w:p>
    <w:p>
      <w:pPr>
        <w:spacing w:before="120" w:after="40"/>
      </w:pPr>
      <w:r>
        <w:rPr>
          <w:b/>
          <w:i w:val="0"/>
        </w:rPr>
        <w:t>Wykaz wyposażenia i stanu pokoju (wypełnij przy wydaniu i przy zwrocie)</w:t>
      </w:r>
    </w:p>
    <w:tbl>
      <w:tblPr>
        <w:tblStyle w:val="TableGrid"/>
        <w:tblW w:type="auto" w:w="0"/>
        <w:tblLayout w:type="fixed"/>
        <w:tblLook w:firstColumn="1" w:firstRow="1" w:lastColumn="0" w:lastRow="0" w:noHBand="0" w:noVBand="1" w:val="04A0"/>
      </w:tblPr>
      <w:tblGrid>
        <w:gridCol w:w="3720"/>
        <w:gridCol w:w="845"/>
        <w:gridCol w:w="2536"/>
        <w:gridCol w:w="2536"/>
      </w:tblGrid>
      <w:tr>
        <w:tc>
          <w:tcPr>
            <w:tcW w:type="dxa" w:w="3720"/>
          </w:tcPr>
          <w:p>
            <w:r>
              <w:rPr>
                <w:b/>
                <w:i w:val="0"/>
                <w:sz w:val="19"/>
              </w:rPr>
              <w:t>Przedmiot (łóżko, szafa, biurko, krzesło, lampa)</w:t>
            </w:r>
          </w:p>
        </w:tc>
        <w:tc>
          <w:tcPr>
            <w:tcW w:type="dxa" w:w="845"/>
          </w:tcPr>
          <w:p>
            <w:r>
              <w:rPr>
                <w:b/>
                <w:i w:val="0"/>
                <w:sz w:val="19"/>
              </w:rPr>
              <w:t>Szt.</w:t>
            </w:r>
          </w:p>
        </w:tc>
        <w:tc>
          <w:tcPr>
            <w:tcW w:type="dxa" w:w="2536"/>
          </w:tcPr>
          <w:p>
            <w:r>
              <w:rPr>
                <w:b/>
                <w:i w:val="0"/>
                <w:sz w:val="19"/>
              </w:rPr>
              <w:t>Stan przy wydaniu</w:t>
            </w:r>
          </w:p>
        </w:tc>
        <w:tc>
          <w:tcPr>
            <w:tcW w:type="dxa" w:w="2536"/>
          </w:tcPr>
          <w:p>
            <w:r>
              <w:rPr>
                <w:b/>
                <w:i w:val="0"/>
                <w:sz w:val="19"/>
              </w:rPr>
              <w:t>Stan przy zwrocie</w:t>
            </w:r>
          </w:p>
        </w:tc>
      </w:tr>
      <w:tr>
        <w:trPr>
          <w:trHeight w:val="397" w:hRule="atLeast"/>
        </w:trPr>
        <w:tc>
          <w:tcPr>
            <w:tcW w:type="dxa" w:w="3720"/>
          </w:tcPr>
          <w:p>
            <w:r>
              <w:rPr>
                <w:b w:val="0"/>
                <w:i w:val="0"/>
                <w:sz w:val="19"/>
              </w:rPr>
            </w:r>
          </w:p>
        </w:tc>
        <w:tc>
          <w:tcPr>
            <w:tcW w:type="dxa" w:w="845"/>
          </w:tcPr>
          <w:p>
            <w:r>
              <w:rPr>
                <w:b w:val="0"/>
                <w:i w:val="0"/>
                <w:sz w:val="19"/>
              </w:rPr>
            </w:r>
          </w:p>
        </w:tc>
        <w:tc>
          <w:tcPr>
            <w:tcW w:type="dxa" w:w="2536"/>
          </w:tcPr>
          <w:p>
            <w:r>
              <w:rPr>
                <w:b w:val="0"/>
                <w:i w:val="0"/>
                <w:sz w:val="19"/>
              </w:rPr>
            </w:r>
          </w:p>
        </w:tc>
        <w:tc>
          <w:tcPr>
            <w:tcW w:type="dxa" w:w="2536"/>
          </w:tcPr>
          <w:p>
            <w:r>
              <w:rPr>
                <w:b w:val="0"/>
                <w:i w:val="0"/>
                <w:sz w:val="19"/>
              </w:rPr>
            </w:r>
          </w:p>
        </w:tc>
      </w:tr>
      <w:tr>
        <w:trPr>
          <w:trHeight w:val="397" w:hRule="atLeast"/>
        </w:trPr>
        <w:tc>
          <w:tcPr>
            <w:tcW w:type="dxa" w:w="3720"/>
          </w:tcPr>
          <w:p>
            <w:r>
              <w:rPr>
                <w:b w:val="0"/>
                <w:i w:val="0"/>
                <w:sz w:val="19"/>
              </w:rPr>
            </w:r>
          </w:p>
        </w:tc>
        <w:tc>
          <w:tcPr>
            <w:tcW w:type="dxa" w:w="845"/>
          </w:tcPr>
          <w:p>
            <w:r>
              <w:rPr>
                <w:b w:val="0"/>
                <w:i w:val="0"/>
                <w:sz w:val="19"/>
              </w:rPr>
            </w:r>
          </w:p>
        </w:tc>
        <w:tc>
          <w:tcPr>
            <w:tcW w:type="dxa" w:w="2536"/>
          </w:tcPr>
          <w:p>
            <w:r>
              <w:rPr>
                <w:b w:val="0"/>
                <w:i w:val="0"/>
                <w:sz w:val="19"/>
              </w:rPr>
            </w:r>
          </w:p>
        </w:tc>
        <w:tc>
          <w:tcPr>
            <w:tcW w:type="dxa" w:w="2536"/>
          </w:tcPr>
          <w:p>
            <w:r>
              <w:rPr>
                <w:b w:val="0"/>
                <w:i w:val="0"/>
                <w:sz w:val="19"/>
              </w:rPr>
            </w:r>
          </w:p>
        </w:tc>
      </w:tr>
      <w:tr>
        <w:trPr>
          <w:trHeight w:val="397" w:hRule="atLeast"/>
        </w:trPr>
        <w:tc>
          <w:tcPr>
            <w:tcW w:type="dxa" w:w="3720"/>
          </w:tcPr>
          <w:p>
            <w:r>
              <w:rPr>
                <w:b w:val="0"/>
                <w:i w:val="0"/>
                <w:sz w:val="19"/>
              </w:rPr>
            </w:r>
          </w:p>
        </w:tc>
        <w:tc>
          <w:tcPr>
            <w:tcW w:type="dxa" w:w="845"/>
          </w:tcPr>
          <w:p>
            <w:r>
              <w:rPr>
                <w:b w:val="0"/>
                <w:i w:val="0"/>
                <w:sz w:val="19"/>
              </w:rPr>
            </w:r>
          </w:p>
        </w:tc>
        <w:tc>
          <w:tcPr>
            <w:tcW w:type="dxa" w:w="2536"/>
          </w:tcPr>
          <w:p>
            <w:r>
              <w:rPr>
                <w:b w:val="0"/>
                <w:i w:val="0"/>
                <w:sz w:val="19"/>
              </w:rPr>
            </w:r>
          </w:p>
        </w:tc>
        <w:tc>
          <w:tcPr>
            <w:tcW w:type="dxa" w:w="2536"/>
          </w:tcPr>
          <w:p>
            <w:r>
              <w:rPr>
                <w:b w:val="0"/>
                <w:i w:val="0"/>
                <w:sz w:val="19"/>
              </w:rPr>
            </w:r>
          </w:p>
        </w:tc>
      </w:tr>
      <w:tr>
        <w:trPr>
          <w:trHeight w:val="397" w:hRule="atLeast"/>
        </w:trPr>
        <w:tc>
          <w:tcPr>
            <w:tcW w:type="dxa" w:w="3720"/>
          </w:tcPr>
          <w:p>
            <w:r>
              <w:rPr>
                <w:b w:val="0"/>
                <w:i w:val="0"/>
                <w:sz w:val="19"/>
              </w:rPr>
            </w:r>
          </w:p>
        </w:tc>
        <w:tc>
          <w:tcPr>
            <w:tcW w:type="dxa" w:w="845"/>
          </w:tcPr>
          <w:p>
            <w:r>
              <w:rPr>
                <w:b w:val="0"/>
                <w:i w:val="0"/>
                <w:sz w:val="19"/>
              </w:rPr>
            </w:r>
          </w:p>
        </w:tc>
        <w:tc>
          <w:tcPr>
            <w:tcW w:type="dxa" w:w="2536"/>
          </w:tcPr>
          <w:p>
            <w:r>
              <w:rPr>
                <w:b w:val="0"/>
                <w:i w:val="0"/>
                <w:sz w:val="19"/>
              </w:rPr>
            </w:r>
          </w:p>
        </w:tc>
        <w:tc>
          <w:tcPr>
            <w:tcW w:type="dxa" w:w="2536"/>
          </w:tcPr>
          <w:p>
            <w:r>
              <w:rPr>
                <w:b w:val="0"/>
                <w:i w:val="0"/>
                <w:sz w:val="19"/>
              </w:rPr>
            </w:r>
          </w:p>
        </w:tc>
      </w:tr>
      <w:tr>
        <w:trPr>
          <w:trHeight w:val="397" w:hRule="atLeast"/>
        </w:trPr>
        <w:tc>
          <w:tcPr>
            <w:tcW w:type="dxa" w:w="3720"/>
          </w:tcPr>
          <w:p>
            <w:r>
              <w:rPr>
                <w:b w:val="0"/>
                <w:i w:val="0"/>
                <w:sz w:val="19"/>
              </w:rPr>
            </w:r>
          </w:p>
        </w:tc>
        <w:tc>
          <w:tcPr>
            <w:tcW w:type="dxa" w:w="845"/>
          </w:tcPr>
          <w:p>
            <w:r>
              <w:rPr>
                <w:b w:val="0"/>
                <w:i w:val="0"/>
                <w:sz w:val="19"/>
              </w:rPr>
            </w:r>
          </w:p>
        </w:tc>
        <w:tc>
          <w:tcPr>
            <w:tcW w:type="dxa" w:w="2536"/>
          </w:tcPr>
          <w:p>
            <w:r>
              <w:rPr>
                <w:b w:val="0"/>
                <w:i w:val="0"/>
                <w:sz w:val="19"/>
              </w:rPr>
            </w:r>
          </w:p>
        </w:tc>
        <w:tc>
          <w:tcPr>
            <w:tcW w:type="dxa" w:w="2536"/>
          </w:tcPr>
          <w:p>
            <w:r>
              <w:rPr>
                <w:b w:val="0"/>
                <w:i w:val="0"/>
                <w:sz w:val="19"/>
              </w:rPr>
            </w:r>
          </w:p>
        </w:tc>
      </w:tr>
      <w:tr>
        <w:trPr>
          <w:trHeight w:val="397" w:hRule="atLeast"/>
        </w:trPr>
        <w:tc>
          <w:tcPr>
            <w:tcW w:type="dxa" w:w="3720"/>
          </w:tcPr>
          <w:p>
            <w:r>
              <w:rPr>
                <w:b w:val="0"/>
                <w:i w:val="0"/>
                <w:sz w:val="19"/>
              </w:rPr>
            </w:r>
          </w:p>
        </w:tc>
        <w:tc>
          <w:tcPr>
            <w:tcW w:type="dxa" w:w="845"/>
          </w:tcPr>
          <w:p>
            <w:r>
              <w:rPr>
                <w:b w:val="0"/>
                <w:i w:val="0"/>
                <w:sz w:val="19"/>
              </w:rPr>
            </w:r>
          </w:p>
        </w:tc>
        <w:tc>
          <w:tcPr>
            <w:tcW w:type="dxa" w:w="2536"/>
          </w:tcPr>
          <w:p>
            <w:r>
              <w:rPr>
                <w:b w:val="0"/>
                <w:i w:val="0"/>
                <w:sz w:val="19"/>
              </w:rPr>
            </w:r>
          </w:p>
        </w:tc>
        <w:tc>
          <w:tcPr>
            <w:tcW w:type="dxa" w:w="2536"/>
          </w:tcPr>
          <w:p>
            <w:r>
              <w:rPr>
                <w:b w:val="0"/>
                <w:i w:val="0"/>
                <w:sz w:val="19"/>
              </w:rPr>
            </w:r>
          </w:p>
        </w:tc>
      </w:tr>
    </w:tbl>
    <w:p>
      <w:pPr>
        <w:spacing w:before="0" w:after="60"/>
      </w:pPr>
    </w:p>
    <w:p>
      <w:pPr>
        <w:tabs>
          <w:tab w:pos="9638" w:val="right" w:leader="dot"/>
        </w:tabs>
        <w:spacing w:before="60" w:after="20"/>
      </w:pPr>
      <w:r>
        <w:rPr>
          <w:b w:val="0"/>
          <w:i w:val="0"/>
        </w:rPr>
        <w:t xml:space="preserve">Stan ścian, podłogi, okna </w:t>
        <w:tab/>
      </w:r>
    </w:p>
    <w:p>
      <w:pPr>
        <w:tabs>
          <w:tab w:pos="5647" w:val="right" w:leader="dot"/>
          <w:tab w:pos="5873" w:val="left"/>
          <w:tab w:pos="9638" w:val="right" w:leader="dot"/>
        </w:tabs>
        <w:spacing w:before="60" w:after="20"/>
      </w:pPr>
      <w:r>
        <w:rPr>
          <w:b w:val="0"/>
          <w:i w:val="0"/>
        </w:rPr>
        <w:t xml:space="preserve">Klucze (pokój, mieszkanie, klatka) szt. </w:t>
        <w:tab/>
      </w:r>
      <w:r>
        <w:rPr>
          <w:b w:val="0"/>
          <w:i w:val="0"/>
        </w:rPr>
        <w:tab/>
      </w:r>
      <w:r>
        <w:rPr>
          <w:b w:val="0"/>
          <w:i w:val="0"/>
        </w:rPr>
        <w:t xml:space="preserve">zwrócono szt. </w:t>
        <w:tab/>
      </w:r>
    </w:p>
    <w:tbl>
      <w:tblPr>
        <w:tblW w:type="auto" w:w="0"/>
        <w:jc w:val="center"/>
        <w:tblLook w:firstColumn="1" w:firstRow="1" w:lastColumn="0" w:lastRow="0" w:noHBand="0" w:noVBand="1" w:val="04A0"/>
      </w:tblPr>
      <w:tblGrid>
        <w:gridCol w:w="4819"/>
        <w:gridCol w:w="4819"/>
      </w:tblGrid>
      <w:tr>
        <w:tc>
          <w:tcPr>
            <w:tcW w:type="dxa" w:w="4819"/>
          </w:tcPr>
          <w:p>
            <w:pPr>
              <w:spacing w:before="560"/>
              <w:jc w:val="center"/>
            </w:pPr>
            <w:r>
              <w:rPr>
                <w:b w:val="0"/>
                <w:i w:val="0"/>
              </w:rPr>
              <w:t>..................................</w:t>
            </w:r>
          </w:p>
        </w:tc>
        <w:tc>
          <w:tcPr>
            <w:tcW w:type="dxa" w:w="4819"/>
          </w:tcPr>
          <w:p>
            <w:pPr>
              <w:spacing w:before="560"/>
              <w:jc w:val="center"/>
            </w:pPr>
            <w:r>
              <w:rPr>
                <w:b w:val="0"/>
                <w:i w:val="0"/>
              </w:rPr>
              <w:t>..................................</w:t>
            </w:r>
          </w:p>
        </w:tc>
      </w:tr>
      <w:tr>
        <w:tc>
          <w:tcPr>
            <w:tcW w:type="dxa" w:w="4819"/>
          </w:tcPr>
          <w:p>
            <w:pPr>
              <w:jc w:val="center"/>
            </w:pPr>
            <w:r>
              <w:rPr>
                <w:b/>
                <w:i w:val="0"/>
              </w:rPr>
              <w:t>Wynajmujący</w:t>
            </w:r>
          </w:p>
        </w:tc>
        <w:tc>
          <w:tcPr>
            <w:tcW w:type="dxa" w:w="4819"/>
          </w:tcPr>
          <w:p>
            <w:pPr>
              <w:jc w:val="center"/>
            </w:pPr>
            <w:r>
              <w:rPr>
                <w:b/>
                <w:i w:val="0"/>
              </w:rPr>
              <w:t>Najemca</w:t>
            </w:r>
          </w:p>
        </w:tc>
      </w:tr>
    </w:tbl>
    <w:sectPr w:rsidR="00FC693F" w:rsidRPr="0006063C" w:rsidSect="00034616">
      <w:footerReference w:type="default" r:id="rId9"/>
      <w:pgSz w:w="11906" w:h="16838"/>
      <w:pgMar w:top="680" w:right="1134" w:bottom="680" w:left="1134"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sz w:val="15"/>
      </w:rPr>
      <w:t>Wynajmujesz pokój albo go szukasz? Dodaj ogłoszenie za darmo na denwi.pl, bez prowizji.</w:t>
      <w:br/>
    </w:r>
    <w:r>
      <w:rPr>
        <w:b w:val="0"/>
        <w:i w:val="0"/>
        <w:sz w:val="14"/>
      </w:rPr>
      <w:t>Bezpłatny wzór: denwi.pl/wzory-umow/umowa-najmu-pokoju  ·  stan prawny: wrzesień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52" w:lineRule="auto"/>
    </w:pPr>
    <w:rPr>
      <w:rFonts w:ascii="Times New Roman" w:hAnsi="Times New Roman" w:cs="Times New Roman" w:eastAsia="Times New Roman"/>
      <w:sz w:val="20"/>
      <w:lang w:val="pl-P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najmu pokoju - wzór Word (Denwi.pl)</dc:title>
  <dc:subject>Wzór umowy najmu pokoju w mieszkaniu (współlokatorzy, studenci) z podziałem mediów, zasadami wspólnego zamieszkiwania i listą wyposażenia</dc:subject>
  <dc:creator>Denwi.pl</dc:creator>
  <cp:keywords>umowa najmu pokoju, wzór umowy najmu pokoju, umowa najmu pokoju dla studenta, Word, DOCX, współlokatorzy, kaucja, 2026</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