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NAJMU LOKALU MIESZKALNEGO</w:t>
      </w:r>
    </w:p>
    <w:p>
      <w:pPr>
        <w:spacing w:before="80" w:after="40"/>
      </w:pPr>
      <w:r>
        <w:rPr>
          <w:b/>
          <w:i/>
        </w:rPr>
        <w:t>Wynajmujący: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e-mail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najmu</w:t>
      </w:r>
    </w:p>
    <w:p>
      <w:pPr>
        <w:spacing w:before="0" w:after="40"/>
        <w:jc w:val="both"/>
      </w:pPr>
      <w:r>
        <w:rPr>
          <w:b w:val="0"/>
          <w:i w:val="0"/>
        </w:rPr>
        <w:t>Wynajmujący oddaje Najemcy do używania w celach mieszkaniowych lokal mieszkalny: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</w:t>
        <w:tab/>
      </w:r>
    </w:p>
    <w:p>
      <w:pPr>
        <w:tabs>
          <w:tab w:pos="3827" w:val="right" w:leader="dot"/>
          <w:tab w:pos="4054" w:val="left"/>
          <w:tab w:pos="7115" w:val="right" w:leader="dot"/>
          <w:tab w:pos="734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powierzchnia (m²)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pokoi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piętro </w:t>
        <w:tab/>
      </w:r>
    </w:p>
    <w:p>
      <w:pPr>
        <w:tabs>
          <w:tab w:pos="3841" w:val="right" w:leader="dot"/>
          <w:tab w:pos="406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księgi wieczystej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pomieszczenia przynależne (piwnica, garaż) </w:t>
        <w:tab/>
      </w:r>
    </w:p>
    <w:p>
      <w:pPr>
        <w:spacing w:before="0" w:after="40"/>
        <w:jc w:val="both"/>
      </w:pPr>
      <w:r>
        <w:rPr>
          <w:b w:val="0"/>
          <w:i w:val="0"/>
        </w:rPr>
        <w:t>Wynajmujący oświadcza, że ma prawo oddać lokal w najem. Stan lokalu, wyposażenie, stany liczników i klucze strony opisują przed wydaniem lokalu w protokole zdawczo-odbiorczym (Załącznik nr 1).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Czas trwania najmu</w:t>
      </w:r>
    </w:p>
    <w:p>
      <w:pPr>
        <w:spacing w:before="0" w:after="40"/>
        <w:jc w:val="both"/>
      </w:pPr>
      <w:r>
        <w:rPr>
          <w:b w:val="0"/>
          <w:i w:val="0"/>
        </w:rPr>
        <w:t>Umowa zostaje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 od dnia ........................... do dnia ........................... (nie dłużej niż 10 lat),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 od dnia ........................... 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Wydanie lokalu Najemcy nastąpi dnia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Czynsz</w:t>
      </w:r>
    </w:p>
    <w:p>
      <w:pPr>
        <w:tabs>
          <w:tab w:pos="4517" w:val="right" w:leader="dot"/>
          <w:tab w:pos="474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miesięczny wynosi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 tym kwota (zł) na opłaty dla wspólnoty lub spółdzielni, bez mediów: </w:t>
        <w:tab/>
      </w:r>
    </w:p>
    <w:p>
      <w:pPr>
        <w:tabs>
          <w:tab w:pos="3040" w:val="right" w:leader="dot"/>
          <w:tab w:pos="326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płatny z góry do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dnia miesiąca na rachunek nr </w:t>
        <w:tab/>
      </w:r>
    </w:p>
    <w:p>
      <w:pPr>
        <w:spacing w:before="0" w:after="40"/>
        <w:jc w:val="both"/>
      </w:pPr>
      <w:r>
        <w:rPr>
          <w:b w:val="0"/>
          <w:i w:val="0"/>
        </w:rPr>
        <w:t>Czynsz za niepełny miesiąc liczy się proporcjonalnie do liczby dni najmu.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Opłaty za media</w:t>
      </w:r>
    </w:p>
    <w:p>
      <w:pPr>
        <w:spacing w:before="0" w:after="40"/>
        <w:jc w:val="both"/>
      </w:pPr>
      <w:r>
        <w:rPr>
          <w:b w:val="0"/>
          <w:i w:val="0"/>
        </w:rPr>
        <w:t>Oprócz czynszu Najemca ponosi opłaty niezależne od Wynajmującego za energię elektryczną, gaz, wodę i ścieki, ciepło oraz odbiór odpadów, według zużycia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zwracając Wynajmującemu kwoty z rachunków i rozliczeń dostawców lub zarządcy w ciągu 7 dni od ich okazania,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płacąc zaliczki ................ zł miesięcznie, rozliczane po każdym rozliczeniu zarządcy lub dostawcy,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bezpośrednio dostawcom, na podstawie umów zawartych przez Najemcę.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Internet i TV (brak wpisu: zamawia i opłaca Najemca)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Zmiana czynszu</w:t>
      </w:r>
    </w:p>
    <w:p>
      <w:pPr>
        <w:spacing w:before="0" w:after="40"/>
        <w:jc w:val="both"/>
      </w:pPr>
      <w:r>
        <w:rPr>
          <w:b w:val="0"/>
          <w:i w:val="0"/>
        </w:rPr>
        <w:t>Wynajmujący może podwyższyć czynsz tylko przez pisemne wypowiedzenie jego wysokości z 3-miesięcznym terminem, na koniec miesiąca kalendarzowego, nie częściej niż co 6 miesięcy (art. 8a i 9 ust. 1b ustawy o ochronie praw lokatorów). Najemca może w ciągu 2 miesięcy odmówić przyjęcia podwyżki, co rozwiązuje umowę z upływem terminu wypowiedzenia, albo zakwestionować ją w sądzie. Zmianę opłat z § 4 Wynajmujący uzasadnia pisemnym zestawieniem opłat (art. 9 ust. 2).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Kaucja</w:t>
      </w:r>
    </w:p>
    <w:p>
      <w:pPr>
        <w:tabs>
          <w:tab w:pos="4894" w:val="right" w:leader="dot"/>
          <w:tab w:pos="512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Najemca wpłaca kaucję w kwocie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co stanowi krotność czynszu: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Wynajmujący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z § 3 do dnia ......................., przed wydaniem lokalu.</w:t>
      </w:r>
    </w:p>
    <w:p>
      <w:pPr>
        <w:spacing w:before="0" w:after="40"/>
        <w:jc w:val="both"/>
      </w:pPr>
      <w:r>
        <w:rPr>
          <w:b w:val="0"/>
          <w:i w:val="0"/>
        </w:rPr>
        <w:t>Kaucja (najwyżej 12-krotność czynszu) zabezpiecza należności z tytułu najmu istniejące w dniu opróżnienia lokalu: zaległy czynsz, opłaty i koszt usunięcia szkód ponad normalne zużycie. Wynajmujący zwraca ją w ciągu miesiąca od opróżnienia lokalu, po potrąceniu tych należności wskazanych na piśmie, w kwocie zwaloryzowanej (krotność czynszu z dnia zwrotu, nie mniej niż wpłacona; art. 6 ustawy o ochronie praw lokatorów).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Używanie lokalu i osoby zamieszkujące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 Najemcą mogą zamieszkiwać (imię, nazwisko) </w:t>
        <w:tab/>
      </w:r>
    </w:p>
    <w:p>
      <w:pPr>
        <w:spacing w:before="0" w:after="40"/>
        <w:jc w:val="both"/>
      </w:pPr>
      <w:r>
        <w:rPr>
          <w:b w:val="0"/>
          <w:i w:val="0"/>
        </w:rPr>
        <w:t>Pełnoletnie osoby stale zamieszkujące z Najemcą odpowiadają z nim solidarnie za czynsz i opłaty (art. 688¹ k.c.). Podnajem lub oddanie lokalu do bezpłatnego używania, także w części, oraz zmiany i ulepszenia w lokalu wymagają pisemnej zgody Wynajmującego. Najemca przestrzega porządku domowego. Zwierzęta w lokalu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dozwolone (gatunek, liczba): ..............................................................................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tylko za pisemną zgodą Wynajmującego.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Naprawy, szkody i dostęp do lokalu</w:t>
      </w:r>
    </w:p>
    <w:p>
      <w:pPr>
        <w:spacing w:before="0" w:after="40"/>
        <w:jc w:val="both"/>
      </w:pPr>
      <w:r>
        <w:rPr>
          <w:b w:val="0"/>
          <w:i w:val="0"/>
        </w:rPr>
        <w:t>Wynajmujący utrzymuje lokal w stanie przydatnym do zamieszkania i wykonuje naprawy, które nie obciążają Najemcy. Najemca wykonuje na swój koszt drobne naprawy związane ze zwykłym używaniem lokalu (art. 681 k.c.), niezwłocznie zgłasza awarie i usterki oraz odpowiada za szkody z jego winy lub winy osób, którym udostępnił lokal. Wynajmujący wchodzi do lokalu po uzgodnieniu terminu z Najemcą, a bez tego tylko w razie awarii grożącej szkodą (art. 10 ustawy).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Wypowiedzenie umowy</w:t>
      </w:r>
    </w:p>
    <w:p>
      <w:pPr>
        <w:spacing w:before="0" w:after="40"/>
        <w:jc w:val="both"/>
      </w:pPr>
      <w:r>
        <w:rPr>
          <w:b w:val="0"/>
          <w:i w:val="0"/>
        </w:rPr>
        <w:t>Wynajmujący może wypowiedzieć umowę, także zawartą na czas oznaczony, na piśmie ze wskazaniem przyczyny, tylko z przyczyn z art. 11 ustawy o ochronie praw lokatorów, w szczególności na miesiąc naprzód, na koniec miesiąca kalendarzowego, gdy Najemca: (1) mimo pisemnego upomnienia używa lokalu niezgodnie z umową, niszczy go lub rażąco narusza porządek domowy; (2) zalega z czynszem lub opłatami za co najmniej trzy pełne okresy płatności, mimo pisemnego uprzedzenia i wyznaczenia dodatkowego, miesięcznego terminu do zapłaty; (3) oddał lokal lub jego część do używania osobie trzeciej bez pisemnej zgody.</w:t>
      </w:r>
    </w:p>
    <w:p>
      <w:pPr>
        <w:spacing w:before="0" w:after="40"/>
        <w:jc w:val="both"/>
      </w:pPr>
      <w:r>
        <w:rPr>
          <w:b w:val="0"/>
          <w:i w:val="0"/>
        </w:rPr>
        <w:t>Najemca może wypowiedzieć umowę na piśmie, na koniec miesiąca kalendarzowego, z terminem ........ miesiąca(-ęcy) (brak wpisu: 3 miesiące, art. 688 k.c.), a umowę na czas oznaczony tylko z ważnej przyczyny: zmiany miejsca pracy lub nauki na inną miejscowość, utraty źródła dochodu, choroby utrudniającej zamieszkiwanie w lokalu lub innej: ..........................................................................</w:t>
      </w:r>
    </w:p>
    <w:p>
      <w:pPr>
        <w:spacing w:before="0" w:after="40"/>
        <w:jc w:val="both"/>
      </w:pPr>
      <w:r>
        <w:rPr>
          <w:b w:val="0"/>
          <w:i/>
          <w:sz w:val="18"/>
        </w:rPr>
        <w:t>Nie wyłącza to wypowiedzenia bez zachowania terminu z powodu wad lokalu (art. 664 § 2 i 682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10. Zwrot lokalu</w:t>
      </w:r>
    </w:p>
    <w:p>
      <w:pPr>
        <w:spacing w:before="0" w:after="40"/>
        <w:jc w:val="both"/>
      </w:pPr>
      <w:r>
        <w:rPr>
          <w:b w:val="0"/>
          <w:i w:val="0"/>
        </w:rPr>
        <w:t>Po zakończeniu najmu Najemca opróżnia lokal i zwraca go z wyposażeniem i kluczami w stanie niepogorszonym, nie odpowiadając za zużycie wynikające z prawidłowego używania (art. 675 § 1 k.c.). Strony podpisują protokół zwrotu (Załącznik nr 1). Za zajmowanie lokalu po zakończeniu najmu Najemca płaci odszkodowanie odpowiadające czynszowi, jaki Wynajmujący mógłby uzyskać za lokal (art. 18 ustawy). Najemca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 zwrocie odnawia lokal (malowanie) i wykonuje obciążające go naprawy (art. 6e ustawy),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musi odnawiać lokalu; odpowiada tylko za szkody ponad normalne zużycie (art. 6f ustawy).</w:t>
      </w:r>
    </w:p>
    <w:p>
      <w:pPr>
        <w:keepNext/>
        <w:spacing w:before="80" w:after="20"/>
        <w:jc w:val="center"/>
      </w:pPr>
      <w:r>
        <w:rPr>
          <w:b/>
          <w:i w:val="0"/>
        </w:rPr>
        <w:t>§ 11.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 pod rygorem nieważności. Strony informują się na piśmie o zmianie adresu (art. 6g ustawy o ochronie praw lokatorów). Na wniosek Najemcy Wynajmujący potwierdzi jego pobyt w lokalu na potrzeby zameldowania. W sprawach nieuregulowanych stosuje się Kodeks cywilny i ustawę o ochronie praw lokatorów. Umowę sporządzono w dwóch jednobrzmiących egzemplarzach, po jednym dla każdej ze stron.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Dodatkowe ustalenia (np. miejsce postojowe, palenie tytoniu)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p>
      <w:r>
        <w:br w:type="page"/>
      </w:r>
    </w:p>
    <w:p>
      <w:pPr>
        <w:spacing w:before="0" w:after="40"/>
        <w:jc w:val="center"/>
      </w:pPr>
      <w:r>
        <w:rPr>
          <w:b/>
          <w:i w:val="0"/>
          <w:sz w:val="28"/>
        </w:rPr>
        <w:t>PROTOKÓŁ ZDAWCZO-ODBIORCZY LOKALU</w:t>
      </w:r>
    </w:p>
    <w:p>
      <w:pPr>
        <w:spacing w:before="0" w:after="160"/>
        <w:jc w:val="center"/>
      </w:pPr>
      <w:r>
        <w:rPr>
          <w:b w:val="0"/>
          <w:i/>
        </w:rPr>
        <w:t>Załącznik nr 1 do umowy najmu lokalu mieszkalnego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godzina wydania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i godzina zwrotu </w:t>
        <w:tab/>
      </w:r>
    </w:p>
    <w:p>
      <w:pPr>
        <w:spacing w:before="120" w:after="40"/>
      </w:pPr>
      <w:r>
        <w:rPr>
          <w:b/>
          <w:i w:val="0"/>
        </w:rPr>
        <w:t>Liczniki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724"/>
        <w:gridCol w:w="2724"/>
        <w:gridCol w:w="2095"/>
        <w:gridCol w:w="2095"/>
      </w:tblGrid>
      <w:tr>
        <w:tc>
          <w:tcPr>
            <w:tcW w:type="dxa" w:w="2724"/>
          </w:tcPr>
          <w:p>
            <w:r>
              <w:rPr>
                <w:b/>
                <w:i w:val="0"/>
                <w:sz w:val="19"/>
              </w:rPr>
              <w:t>Licznik</w:t>
            </w:r>
          </w:p>
        </w:tc>
        <w:tc>
          <w:tcPr>
            <w:tcW w:type="dxa" w:w="2724"/>
          </w:tcPr>
          <w:p>
            <w:r>
              <w:rPr>
                <w:b/>
                <w:i w:val="0"/>
                <w:sz w:val="19"/>
              </w:rPr>
              <w:t>Numer licznika</w:t>
            </w:r>
          </w:p>
        </w:tc>
        <w:tc>
          <w:tcPr>
            <w:tcW w:type="dxa" w:w="2095"/>
          </w:tcPr>
          <w:p>
            <w:r>
              <w:rPr>
                <w:b/>
                <w:i w:val="0"/>
                <w:sz w:val="19"/>
              </w:rPr>
              <w:t>Stan przy wydaniu</w:t>
            </w:r>
          </w:p>
        </w:tc>
        <w:tc>
          <w:tcPr>
            <w:tcW w:type="dxa" w:w="2095"/>
          </w:tcPr>
          <w:p>
            <w:r>
              <w:rPr>
                <w:b/>
                <w:i w:val="0"/>
                <w:sz w:val="19"/>
              </w:rPr>
              <w:t>Stan przy zwrocie</w:t>
            </w:r>
          </w:p>
        </w:tc>
      </w:tr>
      <w:tr>
        <w:trPr>
          <w:trHeight w:val="397" w:hRule="atLeast"/>
        </w:trPr>
        <w:tc>
          <w:tcPr>
            <w:tcW w:type="dxa" w:w="2724"/>
          </w:tcPr>
          <w:p>
            <w:r>
              <w:rPr>
                <w:b w:val="0"/>
                <w:i w:val="0"/>
                <w:sz w:val="19"/>
              </w:rPr>
              <w:t>Energia elektryczna</w:t>
            </w:r>
          </w:p>
        </w:tc>
        <w:tc>
          <w:tcPr>
            <w:tcW w:type="dxa" w:w="27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724"/>
          </w:tcPr>
          <w:p>
            <w:r>
              <w:rPr>
                <w:b w:val="0"/>
                <w:i w:val="0"/>
                <w:sz w:val="19"/>
              </w:rPr>
              <w:t>Gaz</w:t>
            </w:r>
          </w:p>
        </w:tc>
        <w:tc>
          <w:tcPr>
            <w:tcW w:type="dxa" w:w="27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724"/>
          </w:tcPr>
          <w:p>
            <w:r>
              <w:rPr>
                <w:b w:val="0"/>
                <w:i w:val="0"/>
                <w:sz w:val="19"/>
              </w:rPr>
              <w:t>Woda zimna</w:t>
            </w:r>
          </w:p>
        </w:tc>
        <w:tc>
          <w:tcPr>
            <w:tcW w:type="dxa" w:w="27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724"/>
          </w:tcPr>
          <w:p>
            <w:r>
              <w:rPr>
                <w:b w:val="0"/>
                <w:i w:val="0"/>
                <w:sz w:val="19"/>
              </w:rPr>
              <w:t>Woda ciepła</w:t>
            </w:r>
          </w:p>
        </w:tc>
        <w:tc>
          <w:tcPr>
            <w:tcW w:type="dxa" w:w="27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724"/>
          </w:tcPr>
          <w:p>
            <w:r>
              <w:rPr>
                <w:b w:val="0"/>
                <w:i w:val="0"/>
                <w:sz w:val="19"/>
              </w:rPr>
              <w:t>Ciepło / podzielniki</w:t>
            </w:r>
          </w:p>
        </w:tc>
        <w:tc>
          <w:tcPr>
            <w:tcW w:type="dxa" w:w="27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Klucze, piloty, karty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783"/>
        <w:gridCol w:w="1928"/>
        <w:gridCol w:w="1928"/>
      </w:tblGrid>
      <w:tr>
        <w:tc>
          <w:tcPr>
            <w:tcW w:type="dxa" w:w="5783"/>
          </w:tcPr>
          <w:p>
            <w:r>
              <w:rPr>
                <w:b/>
                <w:i w:val="0"/>
                <w:sz w:val="19"/>
              </w:rPr>
              <w:t>Rodzaj (mieszkanie, klatka, skrzynka, piwnica, garaż)</w:t>
            </w:r>
          </w:p>
        </w:tc>
        <w:tc>
          <w:tcPr>
            <w:tcW w:type="dxa" w:w="1928"/>
          </w:tcPr>
          <w:p>
            <w:r>
              <w:rPr>
                <w:b/>
                <w:i w:val="0"/>
                <w:sz w:val="19"/>
              </w:rPr>
              <w:t>Wydano szt.</w:t>
            </w:r>
          </w:p>
        </w:tc>
        <w:tc>
          <w:tcPr>
            <w:tcW w:type="dxa" w:w="1928"/>
          </w:tcPr>
          <w:p>
            <w:r>
              <w:rPr>
                <w:b/>
                <w:i w:val="0"/>
                <w:sz w:val="19"/>
              </w:rPr>
              <w:t>Zwrócono szt.</w:t>
            </w:r>
          </w:p>
        </w:tc>
      </w:tr>
      <w:tr>
        <w:trPr>
          <w:trHeight w:val="397" w:hRule="atLeast"/>
        </w:trPr>
        <w:tc>
          <w:tcPr>
            <w:tcW w:type="dxa" w:w="57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7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7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Stan pomieszczeń (ściany, podłogi, okna, drzwi, instalacje)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3855"/>
        <w:gridCol w:w="3855"/>
      </w:tblGrid>
      <w:tr>
        <w:tc>
          <w:tcPr>
            <w:tcW w:type="dxa" w:w="1928"/>
          </w:tcPr>
          <w:p>
            <w:r>
              <w:rPr>
                <w:b/>
                <w:i w:val="0"/>
                <w:sz w:val="19"/>
              </w:rPr>
              <w:t>Pomieszczenie</w:t>
            </w:r>
          </w:p>
        </w:tc>
        <w:tc>
          <w:tcPr>
            <w:tcW w:type="dxa" w:w="3855"/>
          </w:tcPr>
          <w:p>
            <w:r>
              <w:rPr>
                <w:b/>
                <w:i w:val="0"/>
                <w:sz w:val="19"/>
              </w:rPr>
              <w:t>Stan przy wydaniu, usterki</w:t>
            </w:r>
          </w:p>
        </w:tc>
        <w:tc>
          <w:tcPr>
            <w:tcW w:type="dxa" w:w="3855"/>
          </w:tcPr>
          <w:p>
            <w:r>
              <w:rPr>
                <w:b/>
                <w:i w:val="0"/>
                <w:sz w:val="19"/>
              </w:rPr>
              <w:t>Stan przy zwrocie, uwagi</w:t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Pokój 1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Pokój 2 i kolejne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Kuchnia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Łazienka, WC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Przedpokój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Balkon, piwnica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Wyposażenie (meble, AGD, RTV)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5"/>
        <w:gridCol w:w="876"/>
        <w:gridCol w:w="2628"/>
        <w:gridCol w:w="2628"/>
      </w:tblGrid>
      <w:tr>
        <w:tc>
          <w:tcPr>
            <w:tcW w:type="dxa" w:w="3505"/>
          </w:tcPr>
          <w:p>
            <w:r>
              <w:rPr>
                <w:b/>
                <w:i w:val="0"/>
                <w:sz w:val="19"/>
              </w:rPr>
              <w:t>Przedmiot</w:t>
            </w:r>
          </w:p>
        </w:tc>
        <w:tc>
          <w:tcPr>
            <w:tcW w:type="dxa" w:w="876"/>
          </w:tcPr>
          <w:p>
            <w:r>
              <w:rPr>
                <w:b/>
                <w:i w:val="0"/>
                <w:sz w:val="19"/>
              </w:rPr>
              <w:t>Szt.</w:t>
            </w:r>
          </w:p>
        </w:tc>
        <w:tc>
          <w:tcPr>
            <w:tcW w:type="dxa" w:w="2628"/>
          </w:tcPr>
          <w:p>
            <w:r>
              <w:rPr>
                <w:b/>
                <w:i w:val="0"/>
                <w:sz w:val="19"/>
              </w:rPr>
              <w:t>Stan przy wydaniu</w:t>
            </w:r>
          </w:p>
        </w:tc>
        <w:tc>
          <w:tcPr>
            <w:tcW w:type="dxa" w:w="2628"/>
          </w:tcPr>
          <w:p>
            <w:r>
              <w:rPr>
                <w:b/>
                <w:i w:val="0"/>
                <w:sz w:val="19"/>
              </w:rPr>
              <w:t>Stan przy zwrocie</w:t>
            </w:r>
          </w:p>
        </w:tc>
      </w:tr>
      <w:tr>
        <w:trPr>
          <w:trHeight w:val="397" w:hRule="atLeast"/>
        </w:trPr>
        <w:tc>
          <w:tcPr>
            <w:tcW w:type="dxa" w:w="350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50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50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50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50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50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Zdjęcia lokalu (liczba, sposób przekazania)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Uwagi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Protokół podpisują obie strony przy wydaniu i przy zwrocie lokalu. Stan przy wydaniu jest podstawą rozliczeń przy zwrocie; normalne zużycie wynikające z prawidłowego używania obciąża Wynajmującego.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najemcy albo mieszkania? Dodaj ogłoszenie za darmo na denwi.pl, bez prowizji.</w:t>
      <w:br/>
    </w:r>
    <w:r>
      <w:rPr>
        <w:b w:val="0"/>
        <w:i w:val="0"/>
        <w:sz w:val="14"/>
      </w:rPr>
      <w:t>Bezpłatny wzór: denwi.pl/wzory-umow/umowa-najmu-mieszkania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mieszkania - wzór Word (Denwi.pl)</dc:title>
  <dc:subject>Wzór umowy najmu lokalu mieszkalnego między osobami prywatnymi, na czas oznaczony lub nieoznaczony, z protokołem zdawczo-odbiorczym</dc:subject>
  <dc:creator>Denwi.pl</dc:creator>
  <cp:keywords>umowa najmu mieszkania, umowa najmu lokalu mieszkalnego, wzór umowy najmu, Word, DOCX, protokół zdawczo-odbiorczy, kaucja,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