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sz w:val="28"/>
        </w:rPr>
        <w:t>UMOWA NAJMU LOKALU MIESZKALNEGO</w:t>
      </w:r>
    </w:p>
    <w:p>
      <w:pPr>
        <w:spacing w:before="0" w:after="160"/>
        <w:jc w:val="center"/>
      </w:pPr>
      <w:r>
        <w:rPr>
          <w:b w:val="0"/>
          <w:i/>
        </w:rPr>
        <w:t>ДОГОВІР НАЙМУ ЖИТЛОВОГО ПРИМІЩЕННЯ</w:t>
      </w:r>
    </w:p>
    <w:p>
      <w:pPr>
        <w:tabs>
          <w:tab w:pos="6203" w:val="right" w:leader="dot"/>
          <w:tab w:pos="6429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Miejsce zawarcia umowy / Місце укладення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data / дата </w:t>
        <w:tab/>
      </w:r>
    </w:p>
    <w:p>
      <w:pPr>
        <w:spacing w:before="80" w:after="40"/>
      </w:pPr>
      <w:r>
        <w:rPr>
          <w:b/>
          <w:i/>
        </w:rPr>
        <w:t>Wynajmujący / Наймодавець: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 / Прізвище та ім’я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/ Адреса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PESEL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Dokument tożsamości, nr / Паспорт або ID, №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Obywatelstwo / Громадянство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Telefon, e-mail / Телефон, e-mail </w:t>
        <w:tab/>
      </w:r>
    </w:p>
    <w:p>
      <w:pPr>
        <w:spacing w:before="80" w:after="40"/>
      </w:pPr>
      <w:r>
        <w:rPr>
          <w:b/>
          <w:i/>
        </w:rPr>
        <w:t>Najemca / Наймач: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Imię i nazwisko / Прізвище та ім’я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/ Адреса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PESEL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Dokument tożsamości, nr / Паспорт або ID, №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Obywatelstwo / Громадянство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Telefon, e-mail / Телефон,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 / Предмет найму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Wynajmujący oddaje Najemcy do używania w celach mieszkaniowych lokal mieszkalny: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Наймодавець передає Наймачеві в користування для проживання таке житлове приміщення (квартиру):</w:t>
            </w:r>
          </w:p>
        </w:tc>
      </w:tr>
    </w:tbl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Adres lokalu / Адреса квартири </w:t>
        <w:tab/>
      </w:r>
    </w:p>
    <w:p>
      <w:pPr>
        <w:tabs>
          <w:tab w:pos="4953" w:val="right" w:leader="dot"/>
          <w:tab w:pos="5180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Powierzchnia (m²) / Площа (м²)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Liczba pokoi / Кімнат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Piwnica, miejsce postojowe / Підвал, місце для авто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Wynajmujący oświadcza, że ma prawo oddać lokal w najem. Stan lokalu, wyposażenie, stany liczników i klucze strony opisują w protokole przy wydaniu i przy zwrocie lokalu.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Наймодавець заявляє, що має право здавати квартиру в найм. Стан квартири, обладнання, показники лічильників і ключі сторони фіксують в акті при передачі та при поверненні квартири.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2. Czas trwania najmu / Строк найму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Umowa zostaje zawarta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Договір укладено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na czas oznaczony / на визначений строк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/ на невизначений строк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Daty najmu (od, do) / Строк найму (з, до)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Wydanie lokalu Najemcy (data) / Передача квартири (дата)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 i opłaty / Плата за найм і платежі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Czynsz miesięczny (zł) / Плата за місяць (зл) </w:t>
        <w:tab/>
      </w:r>
      <w:r>
        <w:rPr>
          <w:b w:val="0"/>
          <w:i w:val="0"/>
        </w:rPr>
        <w:tab/>
      </w:r>
      <w:r>
        <w:rPr>
          <w:b w:val="0"/>
          <w:i w:val="0"/>
          <w:sz w:val="18"/>
        </w:rPr>
        <w:t xml:space="preserve">słownie / прописом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Płatny z góry do dnia miesiąca / Сплачується наперед до дня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Nr rachunku Wynajmującego (IBAN) / Рахунок Наймодавця (IBAN)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Oprócz czynszu Najemca pokrywa opłaty za energię elektryczną, gaz, wodę i ścieki, ciepło oraz odpady według zużycia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Крім плати за найм (czynsz), Наймач оплачує електроенергію, газ, воду і водовідведення, опалення та вивезення відходів за фактичним споживанням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zwraca je Wynajmującemu w ciągu 7 dni od okazania rachunku / відшкодовує Наймодавцеві протягом 7 днів після пред’явлення рахунку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płaci zaliczkę wpisaną niżej, rozliczaną po rozliczeniu zarządcy / сплачує аванс, зазначений нижче, з перерахунком після розрахунку керуючого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Zaliczka miesięcznie (zł) / Аванс на місяць (зл)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Wynajmujący może podwyższyć czynsz tylko przez pisemne wypowiedzenie jego wysokości z 3-miesięcznym terminem, na koniec miesiąca kalendarzowego, nie częściej niż co 6 miesięcy (art. 8a i 9 ust. 1b ustawy o ochronie praw lokatorów).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Наймодавець може підвищити плату лише шляхом письмового попередження про нову суму з 3-місячним строком, на кінець календарного місяця, не частіше ніж раз на 6 місяців (ст. 8a і ст. 9 п. 1b Закону про захист прав мешканців, ustawa o ochronie praw lokatorów).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4. Kaucja / Гарантійний платіж (kaucja)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Kaucja (zł) / Гарантійний платіж (зл)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Kaucja zabezpiecza należności z tytułu najmu istniejące w dniu opróżnienia lokalu i nie może przekraczać 12-krotności czynszu. Wynajmujący zwraca ją w ciągu miesiąca od opróżnienia lokalu, po potrąceniu tych należności wskazanych na piśmie (art. 6 ustawy o ochronie praw lokatorów).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Гарантійний платіж (kaucja) забезпечує заборгованість за наймом на день звільнення квартири і не може перевищувати 12-кратного розміру місячної плати. Наймодавець повертає його протягом місяця після звільнення квартири, за вирахуванням цієї заборгованості, зазначеної письмово (ст. 6 Закону про захист прав мешканців).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5. Używanie lokalu / Користування квартирою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Z Najemcą zamieszkują (imiona, nazwiska) / Разом з Наймачем проживають </w:t>
        <w:tab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Podnajem, oddanie lokalu lub jego części do używania innym osobom oraz zmiany w lokalu wymagają pisemnej zgody Wynajmującego. Najemca przestrzega porządku domowego, wykonuje drobne naprawy (art. 681 k.c.), niezwłocznie zgłasza awarie i odpowiada za szkody ze swojej winy. Wynajmujący wchodzi do lokalu po uzgodnieniu terminu z Najemcą, a bez tego tylko w razie awarii.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Піднайм, передання квартири або її частини в користування іншим особам, а також зміни в квартирі потребують письмової згоди Наймодавця. Наймач дотримується правил проживання в будинку (porządek domowy), виконує дрібний ремонт (ст. 681 Цивільного кодексу Польщі, k.c.), негайно повідомляє про аварії і відповідає за шкоду з власної вини. Наймодавець входить до квартири у погоджений з Наймачем час, а без погодження лише в разі аварії.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Zwierzęta w lokalu (zaznacz jedno):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Тварини в квартирі (позначте одне):</w:t>
            </w:r>
          </w:p>
        </w:tc>
      </w:tr>
    </w:tbl>
    <w:p>
      <w:pPr>
        <w:spacing w:before="0" w:after="40"/>
        <w:ind w:left="454" w:hanging="340"/>
      </w:pPr>
      <w:r>
        <w:rPr>
          <w:b w:val="0"/>
          <w:i w:val="0"/>
        </w:rPr>
        <w:t>☐  dozwolone (gatunek i liczbę wpisz w postanowieniach dodatkowych) / дозволені (вид і кількість впишіть у додаткових умовах)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tylko za pisemną zgodą Wynajmującego / лише за письмовою згодою Наймодавця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Wypowiedzenie umowy / Розірвання договору (wypowiedzenie)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Wynajmujący może wypowiedzieć umowę tylko na piśmie z podaniem przyczyny i tylko z przyczyn z art. 11 ustawy o ochronie praw lokatorów, w szczególności na miesiąc naprzód, na koniec miesiąca kalendarzowego, gdy Najemca: mimo pisemnego upomnienia używa lokalu niezgodnie z umową; zalega z czynszem lub opłatami za co najmniej trzy pełne okresy płatności mimo pisemnego uprzedzenia i wyznaczenia dodatkowego, miesięcznego terminu do zapłaty; oddał lokal do używania innej osobie bez pisemnej zgody.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Наймодавець може розірвати договір лише письмово, із зазначенням причини, і лише з підстав, передбачених ст. 11 Закону про захист прав мешканців, зокрема з попередженням за місяць, на кінець календарного місяця, якщо Наймач: попри письмове попередження користується квартирою всупереч договору; має заборгованість з плати або платежів щонайменше за три повні періоди попри письмове попередження і додатковий місячний строк для оплати; передав квартиру в користування іншій особі без письмової згоди.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Najemca może wypowiedzieć umowę na piśmie, na koniec miesiąca kalendarzowego: umowę na czas nieoznaczony z 3-miesięcznym terminem (art. 688 k.c.), a umowę na czas oznaczony z terminem ........ miesiąca(-ęcy), z ważnej przyczyny: zmiany miejsca pracy lub nauki, utraty źródła dochodu, choroby albo wyjazdu z Polski.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Наймач може розірвати договір письмово, на кінець календарного місяця: договір на невизначений строк з попередженням за 3 місяці (ст. 688 k.c.), а договір на визначений строк з попередженням за ........ місяць(-ці) з поважної причини: зміна місця роботи чи навчання, втрата доходу, хвороба або виїзд з Польщі.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7. Zwrot lokalu / Повернення квартири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Po zakończeniu najmu Najemca opróżnia lokal i zwraca go z kluczami i wyposażeniem w stanie niepogorszonym; nie odpowiada za zużycie wynikające z prawidłowego używania (art. 675 § 1 k.c.). Strony wpisują stan lokalu przy zwrocie do protokołu.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Після закінчення найму Наймач звільняє квартиру і повертає її з ключами та обладнанням у стані не гіршому, ніж при передачі; за природний знос від належного користування він не відповідає (ст. 675 § 1 k.c.). Стан квартири при поверненні сторони записують в акт.</w:t>
            </w:r>
          </w:p>
        </w:tc>
      </w:tr>
    </w:tbl>
    <w:p>
      <w:pPr>
        <w:keepNext/>
        <w:spacing w:before="80" w:after="20"/>
        <w:jc w:val="center"/>
      </w:pPr>
      <w:r>
        <w:rPr>
          <w:b/>
          <w:i w:val="0"/>
        </w:rPr>
        <w:t>§ 8. Postanowienia końcowe / Прикінцеві положення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Zmiany umowy wymagają formy pisemnej pod rygorem nieważności. Do umowy stosuje się prawo polskie, w szczególności Kodeks cywilny i ustawę o ochronie praw lokatorów. Na wniosek Najemcy Wynajmujący potwierdzi jego pobyt w lokalu na potrzeby zameldowania.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Зміни договору потребують письмової форми під загрозою недійсності. До договору застосовується польське право, зокрема Цивільний кодекс Польщі і Закон про захист прав мешканців. На прохання Наймача Наймодавець підтвердить його проживання в квартирі для реєстрації місця проживання (zameldowanie).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Umowę sporządzono w dwóch egzemplarzach, po jednym dla każdej strony, każdy w dwóch wersjach językowych. W razie rozbieżności rozstrzyga wersja polska.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  <w:sz w:val="19"/>
              </w:rPr>
              <w:t>Договір складено у двох примірниках, по одному для кожної сторони, кожен двома мовами. У разі розбіжностей переважну силу має польська версія.</w:t>
            </w:r>
          </w:p>
        </w:tc>
      </w:tr>
    </w:tbl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Postanowienia dodatkowe / Додаткові умови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 / Наймодавець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 / Наймач</w:t>
            </w:r>
          </w:p>
        </w:tc>
      </w:tr>
    </w:tbl>
    <w:p>
      <w:pPr>
        <w:spacing w:before="28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PROTOKÓŁ ZDAWCZO-ODBIORCZY LOKALU</w:t>
      </w:r>
    </w:p>
    <w:p>
      <w:pPr>
        <w:spacing w:before="0" w:after="160"/>
        <w:jc w:val="center"/>
      </w:pPr>
      <w:r>
        <w:rPr>
          <w:b w:val="0"/>
          <w:i/>
        </w:rPr>
        <w:t>АКТ ПРИЙМАННЯ-ПЕРЕДАЧІ КВАРТИРИ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Data wydania / data zwrotu / Дата передачі / повернення </w:t>
        <w:tab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71"/>
        <w:gridCol w:w="2256"/>
        <w:gridCol w:w="2256"/>
        <w:gridCol w:w="2256"/>
      </w:tblGrid>
      <w:tr>
        <w:tc>
          <w:tcPr>
            <w:tcW w:type="dxa" w:w="2871"/>
          </w:tcPr>
          <w:p>
            <w:r>
              <w:rPr>
                <w:b/>
                <w:i w:val="0"/>
                <w:sz w:val="19"/>
              </w:rPr>
              <w:t>Licznik / Лічильник</w:t>
            </w:r>
          </w:p>
        </w:tc>
        <w:tc>
          <w:tcPr>
            <w:tcW w:type="dxa" w:w="2256"/>
          </w:tcPr>
          <w:p>
            <w:r>
              <w:rPr>
                <w:b/>
                <w:i w:val="0"/>
                <w:sz w:val="19"/>
              </w:rPr>
              <w:t>Numer / №</w:t>
            </w:r>
          </w:p>
        </w:tc>
        <w:tc>
          <w:tcPr>
            <w:tcW w:type="dxa" w:w="2256"/>
          </w:tcPr>
          <w:p>
            <w:r>
              <w:rPr>
                <w:b/>
                <w:i w:val="0"/>
                <w:sz w:val="19"/>
              </w:rPr>
              <w:t>Wydanie / Передача</w:t>
            </w:r>
          </w:p>
        </w:tc>
        <w:tc>
          <w:tcPr>
            <w:tcW w:type="dxa" w:w="2256"/>
          </w:tcPr>
          <w:p>
            <w:r>
              <w:rPr>
                <w:b/>
                <w:i w:val="0"/>
                <w:sz w:val="19"/>
              </w:rPr>
              <w:t>Zwrot / Повернення</w:t>
            </w:r>
          </w:p>
        </w:tc>
      </w:tr>
      <w:tr>
        <w:trPr>
          <w:trHeight w:val="397" w:hRule="atLeast"/>
        </w:trPr>
        <w:tc>
          <w:tcPr>
            <w:tcW w:type="dxa" w:w="2871"/>
          </w:tcPr>
          <w:p>
            <w:r>
              <w:rPr>
                <w:b w:val="0"/>
                <w:i w:val="0"/>
                <w:sz w:val="19"/>
              </w:rPr>
              <w:t>Prąd / Електроенергія</w:t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871"/>
          </w:tcPr>
          <w:p>
            <w:r>
              <w:rPr>
                <w:b w:val="0"/>
                <w:i w:val="0"/>
                <w:sz w:val="19"/>
              </w:rPr>
              <w:t>Gaz / Газ</w:t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871"/>
          </w:tcPr>
          <w:p>
            <w:r>
              <w:rPr>
                <w:b w:val="0"/>
                <w:i w:val="0"/>
                <w:sz w:val="19"/>
              </w:rPr>
              <w:t>Woda zimna / Холодна вода</w:t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871"/>
          </w:tcPr>
          <w:p>
            <w:r>
              <w:rPr>
                <w:b w:val="0"/>
                <w:i w:val="0"/>
                <w:sz w:val="19"/>
              </w:rPr>
              <w:t>Woda ciepła / Гаряча вода</w:t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2871"/>
          </w:tcPr>
          <w:p>
            <w:r>
              <w:rPr>
                <w:b w:val="0"/>
                <w:i w:val="0"/>
                <w:sz w:val="19"/>
              </w:rPr>
              <w:t>Ciepło / Опалення</w:t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5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447"/>
        <w:gridCol w:w="2095"/>
        <w:gridCol w:w="2095"/>
      </w:tblGrid>
      <w:tr>
        <w:tc>
          <w:tcPr>
            <w:tcW w:type="dxa" w:w="5447"/>
          </w:tcPr>
          <w:p>
            <w:r>
              <w:rPr>
                <w:b/>
                <w:i w:val="0"/>
                <w:sz w:val="19"/>
              </w:rPr>
              <w:t>Klucze (rodzaj) / Ключі (вид)</w:t>
            </w:r>
          </w:p>
        </w:tc>
        <w:tc>
          <w:tcPr>
            <w:tcW w:type="dxa" w:w="2095"/>
          </w:tcPr>
          <w:p>
            <w:r>
              <w:rPr>
                <w:b/>
                <w:i w:val="0"/>
                <w:sz w:val="19"/>
              </w:rPr>
              <w:t>Wydano szt. / Видано</w:t>
            </w:r>
          </w:p>
        </w:tc>
        <w:tc>
          <w:tcPr>
            <w:tcW w:type="dxa" w:w="2095"/>
          </w:tcPr>
          <w:p>
            <w:r>
              <w:rPr>
                <w:b/>
                <w:i w:val="0"/>
                <w:sz w:val="19"/>
              </w:rPr>
              <w:t>Zwrócono szt. / Повернуто</w:t>
            </w:r>
          </w:p>
        </w:tc>
      </w:tr>
      <w:tr>
        <w:trPr>
          <w:trHeight w:val="397" w:hRule="atLeast"/>
        </w:trPr>
        <w:tc>
          <w:tcPr>
            <w:tcW w:type="dxa" w:w="544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44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9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Usterki i uszkodzenia przy wydaniu / Недоліки й пошкодження при передачі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  <w:sz w:val="18"/>
        </w:rPr>
        <w:t xml:space="preserve">Nowe uszkodzenia przy zwrocie / Нові пошкодження при поверненні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 / Наймодавець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 / Наймач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denwi.pl/wzory-umow/umowa-najmu-mieszkania-po-ukrainsku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mieszkania po polsku i ukraińsku (Договір найму житла) - wzór Word (Denwi.pl)</dc:title>
  <dc:subject>Dwujęzyczna umowa najmu mieszkania PL/UA dla najemcy z Ukrainy, z protokołem zdawczo-odbiorczym, według prawa polskiego</dc:subject>
  <dc:creator>Denwi.pl</dc:creator>
  <cp:keywords>umowa najmu mieszkania po ukraińsku, umowa najmu po polsku i ukraińsku, договір найму квартири Польща, договір оренди квартири польською та українською, dwujęzyczna umowa najmu,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