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SAMOCHODU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pojazd stanowi jego własność (współwłasność), jest wolny od wad prawnych, zastawu, leasingu i innych obciążeń, nie jest przedmiotem postępowania ani zabezpieczenia, a przebieg podany w § 1 jest według jego wiedzy rzeczywisty.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505" w:val="right" w:leader="dot"/>
          <w:tab w:pos="57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pojazdu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zapłaconą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płatną przelewem na rachunek Sprzedającego; pojazd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Kupujący kwituje odbiór pojazdu, dowodu rejestracyjnego i potwierdzenia zawarcia umowy OC.</w:t>
      </w:r>
    </w:p>
    <w:p>
      <w:pPr>
        <w:tabs>
          <w:tab w:pos="4299" w:val="right" w:leader="dot"/>
          <w:tab w:pos="4526" w:val="left"/>
          <w:tab w:pos="6675" w:val="right" w:leader="dot"/>
          <w:tab w:pos="690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pojazdu, porównał numer VIN z dowodem rejestracyjnym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Umowa OC przechodzi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ponosi Kupujący.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- wzór Word (Denwi.pl)</dc:title>
  <dc:subject>Wzór umowy kupna-sprzedaży samochodu między osobami prywatnymi, do wypełnienia i druku</dc:subject>
  <dc:creator>Denwi.pl</dc:creator>
  <cp:keywords>umowa kupna sprzedaży samochodu, wzór umowy, Word, DOCX, umowa sprzedaży auta,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