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SAMOCHODU DOSTAWCZEGO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Pojazd</w:t>
      </w:r>
    </w:p>
    <w:p>
      <w:pPr>
        <w:spacing w:before="0" w:after="40"/>
        <w:jc w:val="both"/>
      </w:pPr>
      <w:r>
        <w:rPr>
          <w:b/>
          <w:i/>
        </w:rPr>
        <w:t>Sprzedający sprzedaje, a Kupujący kupuje pojazd (dane z dowodu rejestracyjnego):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6203" w:val="right" w:leader="dot"/>
          <w:tab w:pos="64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pojazdu (np. samochód ciężarowy)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kategoria (np. N1) </w:t>
        <w:tab/>
      </w:r>
    </w:p>
    <w:p>
      <w:pPr>
        <w:tabs>
          <w:tab w:pos="3061" w:val="right" w:leader="dot"/>
          <w:tab w:pos="3288" w:val="left"/>
          <w:tab w:pos="6541" w:val="right" w:leader="dot"/>
          <w:tab w:pos="67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DMC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ładowność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miejsc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zabudowa (furgon, skrzynia, plandeka, kontener, chłodnia, wywrotka)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(np. winda, przegroda, regały, hak, agregat) </w:t>
        <w:tab/>
      </w:r>
    </w:p>
    <w:p>
      <w:pPr>
        <w:spacing w:before="0" w:after="40"/>
        <w:jc w:val="both"/>
      </w:pPr>
      <w:r>
        <w:rPr>
          <w:b w:val="0"/>
          <w:i w:val="0"/>
        </w:rPr>
        <w:t>Tachograf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zamontowany,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zamontowany; typ i data ostatniego sprawdzenia okresowego: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i uszkodzenia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pojazd stanowi jego własność (współwłasność), jest wolny od wad prawnych, zastawu, leasingu i innych obciążeń, nie jest przedmiotem postępowania ani zabezpieczenia, a przebieg z § 1 jest według jego wiedzy rzeczywisty. Co do zmian konstrukcyjnych (np. dorobiona zabudowa, winda, zmiana liczby miejsc lub rodzaju pojazdu) Sprzedający oświadcza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zmian zmieniających dane w dowodzie rejestracyjnym nie dokonywano albo przeszły one dodatkowe badanie techniczne i są wpisane do dowodu (art. 81 ust. 11 pkt 3 Prawa o ruchu drogowym),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dokonano zmian, których nie wpisano do dowodu rejestracyjnego (opis niżej); Kupujący wie, że przed rejestracją może być potrzebne dodatkowe badanie techniczne: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Zaświadczenie z dodatkowego badania technicznego potwierdzające wymagania z art. 86a ust. 9 ustawy o VAT, z adnotacją w dowodzie rejestracyjnym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pojazd je ma i Sprzedający wydaje je Kupującemu,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pojazd go nie ma albo Sprzedający nie wie, czy je ma.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Cena, forma rozliczenia i wydanie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(kwota do zapłaty)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Forma rozliczenia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jest osobą prywatną i sprzedaje poza działalnością gospodarczą. Podatek od czynności cywilnoprawnych (2% wartości rynkowej, deklaracja PCC-3 w 14 dni) płaci Kupujący.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sprzedaje pojazd w ramach działalności gospodarczej i wystawia fakturę (nr niżej). Umowa uzupełnia fakturę, a cena jest kwotą brutto. PCC nie płaci się, bo sprzedaż podlega VAT albo jest z niego zwolniona (art. 2 pkt 4 ustawy o PCC).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faktury (przy sprzedaży przez firmę) </w:t>
        <w:tab/>
      </w:r>
    </w:p>
    <w:p>
      <w:pPr>
        <w:spacing w:before="0" w:after="40"/>
        <w:jc w:val="both"/>
      </w:pPr>
      <w:r>
        <w:rPr>
          <w:b w:val="0"/>
          <w:i w:val="0"/>
        </w:rPr>
        <w:t>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Sprzedającego; pojazd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Kupujący kwituje odbiór pojazdu z dowodem rejestracyjnym, potwierdzeniem zawarcia umowy OC i dokumentami wpisanymi niżej (np. zaświadczenie z badania, świadectwo ATP chłodni, książka serwisowa).</w:t>
      </w:r>
    </w:p>
    <w:p>
      <w:pPr>
        <w:tabs>
          <w:tab w:pos="2601" w:val="right" w:leader="dot"/>
          <w:tab w:pos="2827" w:val="left"/>
          <w:tab w:pos="4272" w:val="right" w:leader="dot"/>
          <w:tab w:pos="4499" w:val="left"/>
          <w:tab w:pos="5944" w:val="right" w:leader="dot"/>
          <w:tab w:pos="617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kluczyki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dokumenty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zna stan techniczny pojazdu i zabudowy, porównał VIN z dowodem rejestracyjnym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Sprzedający jest przedsiębiorcą, a Kupujący konsumentem, wyłączenie nie działa (art. 558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Umowa OC przechodzi na Kupującego (art. 31 ustawy o ubezpieczeniach obowiązkowych):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Koszty umowy ponosi Kupujący. W sprawach nieuregulowanych stosuje się Kodeks cywilny. Umowę sporządzono w dwóch jednobrzmiących egzemplarzach, po jednym dla każdej ze stron (przy współwłaścicielu w trzech).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denwi.pl/wzory-umow/umowa-kupna-sprzedazy-samochodu-dostawczego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dostawczego (busa) - wzór Word (Denwi.pl)</dc:title>
  <dc:subject>Wzór umowy kupna-sprzedaży samochodu dostawczego lub busa z DMC, ładownością, zabudową, tachografem i wyborem rozliczenia: osoba prywatna z PCC albo firma z fakturą</dc:subject>
  <dc:creator>Denwi.pl</dc:creator>
  <cp:keywords>umowa kupna sprzedaży samochodu dostawczego, umowa kupna sprzedaży busa, wzór, Word, DOCX, samochód ciężarowy, N1, DMC, ładowność, PCC, faktura,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