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PROTOKÓŁ ZDAWCZO-ODBIORCZY DOMU</w:t>
      </w:r>
    </w:p>
    <w:p>
      <w:pPr>
        <w:spacing w:before="0" w:after="160"/>
        <w:jc w:val="center"/>
      </w:pPr>
      <w:r>
        <w:rPr>
          <w:b w:val="0"/>
          <w:i/>
        </w:rPr>
        <w:t>wydanie nieruchomości kupującemu po sprzedaży</w:t>
      </w:r>
    </w:p>
    <w:p>
      <w:pPr>
        <w:spacing w:before="0" w:after="40"/>
        <w:jc w:val="both"/>
      </w:pPr>
      <w:r>
        <w:rPr>
          <w:b w:val="0"/>
          <w:i w:val="0"/>
        </w:rPr>
        <w:t>Przedmiot wydania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dom jednorodzinny z działką,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lokal mieszkalny (mieszkanie) z pomieszczeniami przynależnymi,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inna nieruchomość (wpisz):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księgi wieczystej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działki ewidencyjnej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Akt notarialny umowy sprzedaży z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Rep. A nr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Notariusz (imię, nazwisko, siedziba kancelarii)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godzina wydania </w:t>
        <w:tab/>
      </w:r>
    </w:p>
    <w:p>
      <w:pPr>
        <w:spacing w:before="80" w:after="40"/>
      </w:pPr>
      <w:r>
        <w:rPr>
          <w:b/>
          <w:i/>
        </w:rPr>
        <w:t>Sprzedający (wydaje):</w:t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nr dowodu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pełnomocnik (imię, nazwisko), jeśli jest </w:t>
        <w:tab/>
      </w:r>
    </w:p>
    <w:p>
      <w:pPr>
        <w:spacing w:before="80" w:after="40"/>
      </w:pPr>
      <w:r>
        <w:rPr>
          <w:b/>
          <w:i/>
        </w:rPr>
        <w:t>Kupujący (odbiera):</w:t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nr dowodu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pełnomocnik (imię, nazwisko), jeśli jest </w:t>
        <w:tab/>
      </w:r>
    </w:p>
    <w:p>
      <w:pPr>
        <w:spacing w:before="120" w:after="40"/>
      </w:pPr>
      <w:r>
        <w:rPr>
          <w:b/>
          <w:i w:val="0"/>
        </w:rPr>
        <w:t>1. Liczniki, media i zapasy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20"/>
        <w:gridCol w:w="2874"/>
        <w:gridCol w:w="1860"/>
        <w:gridCol w:w="1184"/>
      </w:tblGrid>
      <w:tr>
        <w:tc>
          <w:tcPr>
            <w:tcW w:type="dxa" w:w="3720"/>
          </w:tcPr>
          <w:p>
            <w:r>
              <w:rPr>
                <w:b/>
                <w:i w:val="0"/>
                <w:sz w:val="19"/>
              </w:rPr>
              <w:t>Licznik lub zapas</w:t>
            </w:r>
          </w:p>
        </w:tc>
        <w:tc>
          <w:tcPr>
            <w:tcW w:type="dxa" w:w="2874"/>
          </w:tcPr>
          <w:p>
            <w:r>
              <w:rPr>
                <w:b/>
                <w:i w:val="0"/>
                <w:sz w:val="19"/>
              </w:rPr>
              <w:t>Numer licznika / punktu poboru</w:t>
            </w:r>
          </w:p>
        </w:tc>
        <w:tc>
          <w:tcPr>
            <w:tcW w:type="dxa" w:w="1860"/>
          </w:tcPr>
          <w:p>
            <w:r>
              <w:rPr>
                <w:b/>
                <w:i w:val="0"/>
                <w:sz w:val="19"/>
              </w:rPr>
              <w:t>Stan (odczyt)</w:t>
            </w:r>
          </w:p>
        </w:tc>
        <w:tc>
          <w:tcPr>
            <w:tcW w:type="dxa" w:w="1184"/>
          </w:tcPr>
          <w:p>
            <w:r>
              <w:rPr>
                <w:b/>
                <w:i w:val="0"/>
                <w:sz w:val="19"/>
              </w:rPr>
              <w:t>Jednostka</w:t>
            </w:r>
          </w:p>
        </w:tc>
      </w:tr>
      <w:tr>
        <w:trPr>
          <w:trHeight w:val="397" w:hRule="atLeast"/>
        </w:trPr>
        <w:tc>
          <w:tcPr>
            <w:tcW w:type="dxa" w:w="3720"/>
          </w:tcPr>
          <w:p>
            <w:r>
              <w:rPr>
                <w:b w:val="0"/>
                <w:i w:val="0"/>
                <w:sz w:val="19"/>
              </w:rPr>
              <w:t>Energia elektryczna (taryfa 1)</w:t>
            </w:r>
          </w:p>
        </w:tc>
        <w:tc>
          <w:tcPr>
            <w:tcW w:type="dxa" w:w="28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84"/>
          </w:tcPr>
          <w:p>
            <w:r>
              <w:rPr>
                <w:b w:val="0"/>
                <w:i w:val="0"/>
                <w:sz w:val="19"/>
              </w:rPr>
              <w:t>kWh</w:t>
            </w:r>
          </w:p>
        </w:tc>
      </w:tr>
      <w:tr>
        <w:trPr>
          <w:trHeight w:val="397" w:hRule="atLeast"/>
        </w:trPr>
        <w:tc>
          <w:tcPr>
            <w:tcW w:type="dxa" w:w="3720"/>
          </w:tcPr>
          <w:p>
            <w:r>
              <w:rPr>
                <w:b w:val="0"/>
                <w:i w:val="0"/>
                <w:sz w:val="19"/>
              </w:rPr>
              <w:t>Energia elektryczna (taryfa 2)</w:t>
            </w:r>
          </w:p>
        </w:tc>
        <w:tc>
          <w:tcPr>
            <w:tcW w:type="dxa" w:w="28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84"/>
          </w:tcPr>
          <w:p>
            <w:r>
              <w:rPr>
                <w:b w:val="0"/>
                <w:i w:val="0"/>
                <w:sz w:val="19"/>
              </w:rPr>
              <w:t>kWh</w:t>
            </w:r>
          </w:p>
        </w:tc>
      </w:tr>
      <w:tr>
        <w:trPr>
          <w:trHeight w:val="397" w:hRule="atLeast"/>
        </w:trPr>
        <w:tc>
          <w:tcPr>
            <w:tcW w:type="dxa" w:w="3720"/>
          </w:tcPr>
          <w:p>
            <w:r>
              <w:rPr>
                <w:b w:val="0"/>
                <w:i w:val="0"/>
                <w:sz w:val="19"/>
              </w:rPr>
              <w:t>Fotowoltaika: energia oddana do sieci</w:t>
            </w:r>
          </w:p>
        </w:tc>
        <w:tc>
          <w:tcPr>
            <w:tcW w:type="dxa" w:w="28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84"/>
          </w:tcPr>
          <w:p>
            <w:r>
              <w:rPr>
                <w:b w:val="0"/>
                <w:i w:val="0"/>
                <w:sz w:val="19"/>
              </w:rPr>
              <w:t>kWh</w:t>
            </w:r>
          </w:p>
        </w:tc>
      </w:tr>
      <w:tr>
        <w:trPr>
          <w:trHeight w:val="397" w:hRule="atLeast"/>
        </w:trPr>
        <w:tc>
          <w:tcPr>
            <w:tcW w:type="dxa" w:w="3720"/>
          </w:tcPr>
          <w:p>
            <w:r>
              <w:rPr>
                <w:b w:val="0"/>
                <w:i w:val="0"/>
                <w:sz w:val="19"/>
              </w:rPr>
              <w:t>Gaz</w:t>
            </w:r>
          </w:p>
        </w:tc>
        <w:tc>
          <w:tcPr>
            <w:tcW w:type="dxa" w:w="28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84"/>
          </w:tcPr>
          <w:p>
            <w:r>
              <w:rPr>
                <w:b w:val="0"/>
                <w:i w:val="0"/>
                <w:sz w:val="19"/>
              </w:rPr>
              <w:t>m³</w:t>
            </w:r>
          </w:p>
        </w:tc>
      </w:tr>
      <w:tr>
        <w:trPr>
          <w:trHeight w:val="397" w:hRule="atLeast"/>
        </w:trPr>
        <w:tc>
          <w:tcPr>
            <w:tcW w:type="dxa" w:w="3720"/>
          </w:tcPr>
          <w:p>
            <w:r>
              <w:rPr>
                <w:b w:val="0"/>
                <w:i w:val="0"/>
                <w:sz w:val="19"/>
              </w:rPr>
              <w:t>Woda (wodomierz główny)</w:t>
            </w:r>
          </w:p>
        </w:tc>
        <w:tc>
          <w:tcPr>
            <w:tcW w:type="dxa" w:w="28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84"/>
          </w:tcPr>
          <w:p>
            <w:r>
              <w:rPr>
                <w:b w:val="0"/>
                <w:i w:val="0"/>
                <w:sz w:val="19"/>
              </w:rPr>
              <w:t>m³</w:t>
            </w:r>
          </w:p>
        </w:tc>
      </w:tr>
      <w:tr>
        <w:trPr>
          <w:trHeight w:val="397" w:hRule="atLeast"/>
        </w:trPr>
        <w:tc>
          <w:tcPr>
            <w:tcW w:type="dxa" w:w="3720"/>
          </w:tcPr>
          <w:p>
            <w:r>
              <w:rPr>
                <w:b w:val="0"/>
                <w:i w:val="0"/>
                <w:sz w:val="19"/>
              </w:rPr>
              <w:t>Ciepło (ciepłomierz, podzielniki)</w:t>
            </w:r>
          </w:p>
        </w:tc>
        <w:tc>
          <w:tcPr>
            <w:tcW w:type="dxa" w:w="28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8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720"/>
          </w:tcPr>
          <w:p>
            <w:r>
              <w:rPr>
                <w:b w:val="0"/>
                <w:i w:val="0"/>
                <w:sz w:val="19"/>
              </w:rPr>
              <w:t>Szambo lub zbiornik (napełnienie)</w:t>
            </w:r>
          </w:p>
        </w:tc>
        <w:tc>
          <w:tcPr>
            <w:tcW w:type="dxa" w:w="28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8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720"/>
          </w:tcPr>
          <w:p>
            <w:r>
              <w:rPr>
                <w:b w:val="0"/>
                <w:i w:val="0"/>
                <w:sz w:val="19"/>
              </w:rPr>
              <w:t>Opał (olej, gaz płynny, pellet, węgiel)</w:t>
            </w:r>
          </w:p>
        </w:tc>
        <w:tc>
          <w:tcPr>
            <w:tcW w:type="dxa" w:w="28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6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84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2. Klucze, piloty, kody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241"/>
        <w:gridCol w:w="1542"/>
        <w:gridCol w:w="3855"/>
      </w:tblGrid>
      <w:tr>
        <w:tc>
          <w:tcPr>
            <w:tcW w:type="dxa" w:w="4241"/>
          </w:tcPr>
          <w:p>
            <w:r>
              <w:rPr>
                <w:b/>
                <w:i w:val="0"/>
                <w:sz w:val="19"/>
              </w:rPr>
              <w:t>Rodzaj</w:t>
            </w:r>
          </w:p>
        </w:tc>
        <w:tc>
          <w:tcPr>
            <w:tcW w:type="dxa" w:w="1542"/>
          </w:tcPr>
          <w:p>
            <w:r>
              <w:rPr>
                <w:b/>
                <w:i w:val="0"/>
                <w:sz w:val="19"/>
              </w:rPr>
              <w:t>Liczba sztuk</w:t>
            </w:r>
          </w:p>
        </w:tc>
        <w:tc>
          <w:tcPr>
            <w:tcW w:type="dxa" w:w="3855"/>
          </w:tcPr>
          <w:p>
            <w:r>
              <w:rPr>
                <w:b/>
                <w:i w:val="0"/>
                <w:sz w:val="19"/>
              </w:rPr>
              <w:t>Uwagi</w:t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  <w:t>Drzwi wejściowe</w:t>
            </w:r>
          </w:p>
        </w:tc>
        <w:tc>
          <w:tcPr>
            <w:tcW w:type="dxa" w:w="15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  <w:t>Drzwi tarasowe, boczne, kotłownia</w:t>
            </w:r>
          </w:p>
        </w:tc>
        <w:tc>
          <w:tcPr>
            <w:tcW w:type="dxa" w:w="15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  <w:t>Garaż, pilot do bramy garażowej</w:t>
            </w:r>
          </w:p>
        </w:tc>
        <w:tc>
          <w:tcPr>
            <w:tcW w:type="dxa" w:w="15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  <w:t>Brama wjazdowa, furtka</w:t>
            </w:r>
          </w:p>
        </w:tc>
        <w:tc>
          <w:tcPr>
            <w:tcW w:type="dxa" w:w="15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  <w:t>Skrzynka pocztowa, piwnica, komórka</w:t>
            </w:r>
          </w:p>
        </w:tc>
        <w:tc>
          <w:tcPr>
            <w:tcW w:type="dxa" w:w="15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41"/>
          </w:tcPr>
          <w:p>
            <w:r>
              <w:rPr>
                <w:b w:val="0"/>
                <w:i w:val="0"/>
                <w:sz w:val="19"/>
              </w:rPr>
              <w:t>Alarm, domofon, aplikacje (kody zmienione?)</w:t>
            </w:r>
          </w:p>
        </w:tc>
        <w:tc>
          <w:tcPr>
            <w:tcW w:type="dxa" w:w="15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r>
        <w:br w:type="page"/>
      </w:r>
    </w:p>
    <w:p>
      <w:pPr>
        <w:spacing w:before="120" w:after="40"/>
      </w:pPr>
      <w:r>
        <w:rPr>
          <w:b/>
          <w:i w:val="0"/>
        </w:rPr>
        <w:t>3. Stan budynku, instalacji i działki</w:t>
      </w:r>
    </w:p>
    <w:p>
      <w:pPr>
        <w:spacing w:before="0" w:after="40"/>
        <w:jc w:val="both"/>
      </w:pPr>
      <w:r>
        <w:rPr>
          <w:b w:val="0"/>
          <w:i/>
          <w:sz w:val="18"/>
        </w:rPr>
        <w:t>Wpisz stan i widoczne usterki: zacieki, pęknięcia, wilgoć, niedziałające urządzenia.</w:t>
      </w:r>
    </w:p>
    <w:p>
      <w:pPr>
        <w:spacing w:before="80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855"/>
        <w:gridCol w:w="5783"/>
      </w:tblGrid>
      <w:tr>
        <w:tc>
          <w:tcPr>
            <w:tcW w:type="dxa" w:w="3855"/>
          </w:tcPr>
          <w:p>
            <w:r>
              <w:rPr>
                <w:b/>
                <w:i w:val="0"/>
                <w:sz w:val="19"/>
              </w:rPr>
              <w:t>Element</w:t>
            </w:r>
          </w:p>
        </w:tc>
        <w:tc>
          <w:tcPr>
            <w:tcW w:type="dxa" w:w="5783"/>
          </w:tcPr>
          <w:p>
            <w:r>
              <w:rPr>
                <w:b/>
                <w:i w:val="0"/>
                <w:sz w:val="19"/>
              </w:rPr>
              <w:t>Stan i widoczne usterki</w:t>
            </w:r>
          </w:p>
        </w:tc>
      </w:tr>
      <w:tr>
        <w:trPr>
          <w:trHeight w:val="397" w:hRule="atLeast"/>
        </w:trPr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  <w:t>Dach, rynny, kominy, elewacja</w:t>
            </w:r>
          </w:p>
        </w:tc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  <w:t>Okna, drzwi, rolety</w:t>
            </w:r>
          </w:p>
        </w:tc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  <w:t>Pokoje, kuchnia, łazienki</w:t>
            </w:r>
          </w:p>
        </w:tc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  <w:t>Instalacje: elektryczna, wodna, kanalizacja</w:t>
            </w:r>
          </w:p>
        </w:tc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  <w:t>Ogrzewanie (źródło, rok, przegląd)</w:t>
            </w:r>
          </w:p>
        </w:tc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  <w:t>Piwnica, strych, garaż</w:t>
            </w:r>
          </w:p>
        </w:tc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  <w:t>Ogrodzenie, brama, podjazd, ogród</w:t>
            </w:r>
          </w:p>
        </w:tc>
        <w:tc>
          <w:tcPr>
            <w:tcW w:type="dxa" w:w="5783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4. Wyposażenie, które zostaje w nieruchomości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12"/>
        <w:gridCol w:w="964"/>
        <w:gridCol w:w="3662"/>
      </w:tblGrid>
      <w:tr>
        <w:tc>
          <w:tcPr>
            <w:tcW w:type="dxa" w:w="5012"/>
          </w:tcPr>
          <w:p>
            <w:r>
              <w:rPr>
                <w:b/>
                <w:i w:val="0"/>
                <w:sz w:val="19"/>
              </w:rPr>
              <w:t>Przedmiot (meble, AGD, urządzenia, rośliny)</w:t>
            </w:r>
          </w:p>
        </w:tc>
        <w:tc>
          <w:tcPr>
            <w:tcW w:type="dxa" w:w="964"/>
          </w:tcPr>
          <w:p>
            <w:r>
              <w:rPr>
                <w:b/>
                <w:i w:val="0"/>
                <w:sz w:val="19"/>
              </w:rPr>
              <w:t>Szt.</w:t>
            </w:r>
          </w:p>
        </w:tc>
        <w:tc>
          <w:tcPr>
            <w:tcW w:type="dxa" w:w="3662"/>
          </w:tcPr>
          <w:p>
            <w:r>
              <w:rPr>
                <w:b/>
                <w:i w:val="0"/>
                <w:sz w:val="19"/>
              </w:rPr>
              <w:t>Stan</w:t>
            </w:r>
          </w:p>
        </w:tc>
      </w:tr>
      <w:tr>
        <w:trPr>
          <w:trHeight w:val="397" w:hRule="atLeast"/>
        </w:trPr>
        <w:tc>
          <w:tcPr>
            <w:tcW w:type="dxa" w:w="50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62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62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62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662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5. Przekazane dokumenty (zaznacz, co przekazano)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świadectwo charakterystyki energetycznej (jeśli nie przekazano go przy akcie),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projekt, dokumentacja techniczna, pozwolenie na budowę lub zgłoszenie, odbiór budynku,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protokoły przeglądów: kominiarskiego, gazowego, elektrycznego, kotła,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instrukcje i gwarancje urządzeń (piec, pompa ciepła, fotowoltaika, brama, alarm),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numery umów i punktów poboru u dostawców energii, gazu, wody, internetu.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dokumenty </w:t>
        <w:tab/>
      </w:r>
    </w:p>
    <w:p>
      <w:pPr>
        <w:spacing w:before="120" w:after="40"/>
      </w:pPr>
      <w:r>
        <w:rPr>
          <w:b/>
          <w:i w:val="0"/>
        </w:rPr>
        <w:t>6. Rozliczenia i formalności</w:t>
      </w:r>
    </w:p>
    <w:p>
      <w:pPr>
        <w:spacing w:before="0" w:after="40"/>
        <w:jc w:val="both"/>
      </w:pPr>
      <w:r>
        <w:rPr>
          <w:b w:val="0"/>
          <w:i w:val="0"/>
        </w:rPr>
        <w:t>Z chwilą wydania korzyści i ciężary związane z nieruchomością oraz ryzyko jej przypadkowej utraty lub uszkodzenia przechodzą na Kupującego (art. 548 § 1 k.c.), chyba że akt notarialny stanowi inaczej. Opłaty za media zużyte do stanów z punktu 1 obciążają Sprzedającego.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Uzgodnione rozliczenie mediów, opału lub zaliczek (kwota, kto, termin)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Osoby zameldowane w dniu wydania (brak / kto i do kiedy się wymelduje)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Sprzedający i Kupujący składają w gminie informację o nieruchomościach (podatek od nieruchomości) w ciągu 14 dni od sprzedaży (art. 6 ust. 6 ustawy o podatkach i opłatach lokalnych). Kupujący, który zamieszka w nieruchomości, składa deklarację o opłacie za odpady komunalne w ciągu 14 dni (art. 6m ustawy o utrzymaniu czystości i porządku w gminach). Umowy z dostawcami strony zmieniają według stanów z punktu 1.</w:t>
      </w:r>
    </w:p>
    <w:p>
      <w:pPr>
        <w:spacing w:before="120" w:after="40"/>
      </w:pPr>
      <w:r>
        <w:rPr>
          <w:b/>
          <w:i w:val="0"/>
        </w:rPr>
        <w:t>7. Uwagi, zastrzeżenia, wady stwierdzone przy odbiorze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Wpis wady do protokołu nie pozbawia Kupującego uprawnień z rękojmi, jeżeli nie wiedział o niej w chwili zawarcia umowy sprzedaży (art. 557 § 1 k.c.), chyba że strony skutecznie wyłączyły rękojmię w akcie.</w:t>
      </w:r>
    </w:p>
    <w:p>
      <w:pPr>
        <w:spacing w:before="0" w:after="40"/>
        <w:jc w:val="both"/>
      </w:pPr>
      <w:r>
        <w:rPr>
          <w:b w:val="0"/>
          <w:i w:val="0"/>
        </w:rPr>
        <w:t>Strony potwierdzają, że protokół opisuje stan nieruchomości w chwili wydania. Sporządzono go w dwóch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 (wydaje)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 (odbiera)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dom?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denwi.pl/wzory-umow/protokol-zdawczo-odbiorczy-domu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ieruchomosci&amp;podkategoria=domy&amp;utm_source=wzor-pdf&amp;utm_medium=docx&amp;utm_campaign=protokol-zdawczo-odbiorczy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domu po sprzedaży - wzór Word (Denwi.pl)</dc:title>
  <dc:subject>Wzór protokołu zdawczo-odbiorczego domu lub mieszkania po sprzedaży: liczniki, opał, klucze, stan budynku i działki, wyposażenie, dokumenty, przejście korzyści i ciężarów (art. 548 k.c.)</dc:subject>
  <dc:creator>Denwi.pl</dc:creator>
  <cp:keywords>protokół zdawczo-odbiorczy domu, protokół przekazania domu po sprzedaży, protokół zdawczo odbiorczy domu jednorodzinnego, protokół przekazania mieszkania po sprzedaży, wzór,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